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</w:t>
      </w:r>
      <w:r>
        <w:rPr/>
        <w:t>April 7,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WEN Huaxin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Financial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Waton Financial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Suite 3605-06, 36th Floor</w:t>
      </w:r>
    </w:p>
    <w:p>
      <w:pPr>
        <w:pStyle w:val="PreformattedText"/>
        <w:bidi w:val="0"/>
        <w:spacing w:before="0" w:after="0"/>
        <w:jc w:val="left"/>
        <w:rPr/>
      </w:pPr>
      <w:r>
        <w:rPr/>
        <w:t>Tower 6, The Gateway</w:t>
      </w:r>
    </w:p>
    <w:p>
      <w:pPr>
        <w:pStyle w:val="PreformattedText"/>
        <w:bidi w:val="0"/>
        <w:spacing w:before="0" w:after="0"/>
        <w:jc w:val="left"/>
        <w:rPr/>
      </w:pPr>
      <w:r>
        <w:rPr/>
        <w:t>Harbour City, Tsim Sha Tsui</w:t>
      </w:r>
    </w:p>
    <w:p>
      <w:pPr>
        <w:pStyle w:val="PreformattedText"/>
        <w:bidi w:val="0"/>
        <w:spacing w:before="0" w:after="0"/>
        <w:jc w:val="left"/>
        <w:rPr/>
      </w:pPr>
      <w:r>
        <w:rPr/>
        <w:t>Kowloon, Hong Kong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Re: Waton Financial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Form 20-F for Fiscal Year Ended March 31, 2025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 No. 001-42573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WEN Huaxin: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We have completed our review of your filing. We remind you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and its</w:t>
      </w:r>
    </w:p>
    <w:p>
      <w:pPr>
        <w:pStyle w:val="PreformattedText"/>
        <w:bidi w:val="0"/>
        <w:spacing w:before="0" w:after="0"/>
        <w:jc w:val="left"/>
        <w:rPr/>
      </w:pPr>
      <w:r>
        <w:rPr/>
        <w:t>management are responsible for the accuracy and adequacy of their disclosures,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notwithstanding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review, comments, action or absence of action 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</w:t>
      </w:r>
      <w:r>
        <w:rPr/>
        <w:t>Office of Crypto</w:t>
      </w:r>
    </w:p>
    <w:p>
      <w:pPr>
        <w:pStyle w:val="PreformattedText"/>
        <w:bidi w:val="0"/>
        <w:spacing w:before="0" w:after="283"/>
        <w:jc w:val="left"/>
        <w:rPr/>
      </w:pPr>
      <w:r>
        <w:rPr/>
        <w:t>Assets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94</Words>
  <Characters>494</Characters>
  <CharactersWithSpaces>834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