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6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March 2, 2026.</w:t>
      </w:r>
    </w:p>
    <w:p>
      <w:pPr>
        <w:spacing w:after="0" w:line="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333-291557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84455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38735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9"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27"/>
          <w:szCs w:val="27"/>
          <w:b w:val="1"/>
          <w:bCs w:val="1"/>
          <w:color w:val="auto"/>
        </w:rPr>
        <w:t>Post-Effective Amendment No. 1</w:t>
      </w:r>
    </w:p>
    <w:p>
      <w:pPr>
        <w:spacing w:after="0" w:line="3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7"/>
          <w:szCs w:val="27"/>
          <w:b w:val="1"/>
          <w:bCs w:val="1"/>
          <w:color w:val="auto"/>
        </w:rPr>
        <w:t>To</w:t>
      </w:r>
    </w:p>
    <w:p>
      <w:pPr>
        <w:ind w:left="4220"/>
        <w:spacing w:after="0" w:line="235" w:lineRule="auto"/>
        <w:rPr>
          <w:sz w:val="20"/>
          <w:szCs w:val="20"/>
          <w:color w:val="auto"/>
        </w:rPr>
      </w:pPr>
      <w:r>
        <w:rPr>
          <w:rFonts w:ascii="Times New Roman" w:cs="Times New Roman" w:eastAsia="Times New Roman" w:hAnsi="Times New Roman"/>
          <w:sz w:val="27"/>
          <w:szCs w:val="27"/>
          <w:b w:val="1"/>
          <w:bCs w:val="1"/>
          <w:color w:val="auto"/>
        </w:rPr>
        <w:t>FORM F-1</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38735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Waton Financial Limited</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38735</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33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6200</w:t>
            </w:r>
          </w:p>
        </w:tc>
        <w:tc>
          <w:tcPr>
            <w:tcW w:w="22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1"/>
        </w:trPr>
        <w:tc>
          <w:tcPr>
            <w:tcW w:w="3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3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20" w:type="dxa"/>
            <w:vAlign w:val="bottom"/>
          </w:tcPr>
          <w:p>
            <w:pPr>
              <w:spacing w:after="0"/>
              <w:rPr>
                <w:sz w:val="16"/>
                <w:szCs w:val="16"/>
                <w:color w:val="auto"/>
              </w:rPr>
            </w:pPr>
          </w:p>
        </w:tc>
        <w:tc>
          <w:tcPr>
            <w:tcW w:w="3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2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Suites 3605-06, 36th Floor,</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6, The Gateway,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Harbour City, Tsim Sha Tsui,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Kowloon,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2853 1818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48895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3660"/>
        <w:spacing w:after="0" w:line="208"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48895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7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Ying Li, Esq.</w:t>
      </w:r>
    </w:p>
    <w:p>
      <w:pPr>
        <w:spacing w:after="0" w:line="3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Lisa Forcht, Esq.</w:t>
      </w:r>
    </w:p>
    <w:p>
      <w:pPr>
        <w:spacing w:after="0" w:line="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Hunter Taubman Fischer &amp; Li LLC</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950 Third Avenue, 19th Floor</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212-530-2206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48895</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Promptly after the effective date of this registration statement.</w:t>
      </w:r>
    </w:p>
    <w:p>
      <w:pPr>
        <w:spacing w:after="0" w:line="6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0"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3" w:lineRule="exact"/>
        <w:rPr>
          <w:sz w:val="24"/>
          <w:szCs w:val="24"/>
          <w:color w:val="auto"/>
        </w:rPr>
      </w:pPr>
    </w:p>
    <w:p>
      <w:pPr>
        <w:jc w:val="both"/>
        <w:ind w:left="7560" w:hanging="7547"/>
        <w:spacing w:after="0" w:line="26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w:t>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0"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7"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as amended, or until the registration statement shall become effective on such date as the U.S.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195580</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323850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849"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Waton Financial Limited (the “Company”) is filing this Post-Effective Amendment No. 1 to Form F-1 (this “Post-Effective Amendment No. 1”) to update its Registration Statement on Form F-1, as amended (File No. 333-291557) (the “Registration Statement”), originally filed by the Company with the U.S. Securities and Exchange Commission (the “SEC”) on November 14, 2025, and declared effective by the SEC on December 31, 2025, to include the unaudited condensed consolidated financial statements for the six months ended September 30, 2025, and to update certain other information contained herein.</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Post-Effective Amendment No. 1 amends the Registration Statement and the prospectus contained therein. No additional securities are being registered under this Post-Effective Amendment No. 1 and no securities have been sold under the Registration Statement. All applicable registration fees were paid at the time of the original filing of the Registration Statement on November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FC0014"/>
        </w:rPr>
        <w:t>The information in this prospectus is not complete and may be changed. We may not sell the securities until the registration statement filed with the U.S. Securities and Exchange Commission is effective. This prospectus is not an offer to sell these securities and it is not soliciting any offer to buy these securities in any jurisdiction where such offer or sale is not permitted.</w:t>
      </w:r>
    </w:p>
    <w:p>
      <w:pPr>
        <w:spacing w:after="0" w:line="268"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b w:val="1"/>
          <w:bCs w:val="1"/>
          <w:color w:val="FC0014"/>
        </w:rPr>
        <w:t>PRELIMINARY PROSPECTUS</w:t>
      </w:r>
      <w:r>
        <w:rPr>
          <w:sz w:val="20"/>
          <w:szCs w:val="20"/>
          <w:color w:val="auto"/>
        </w:rPr>
        <w:tab/>
      </w:r>
      <w:r>
        <w:rPr>
          <w:rFonts w:ascii="Times New Roman" w:cs="Times New Roman" w:eastAsia="Times New Roman" w:hAnsi="Times New Roman"/>
          <w:sz w:val="17"/>
          <w:szCs w:val="17"/>
          <w:b w:val="1"/>
          <w:bCs w:val="1"/>
          <w:color w:val="FC0014"/>
        </w:rPr>
        <w:t>SUBJECT TO COMPLETION DATED MARCH 2,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5,359,719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159385</wp:posOffset>
            </wp:positionV>
            <wp:extent cx="2751455" cy="1174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145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Waton Financial Limited</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offering in a best-efforts self-underwritten offering up to 5,359,719 ordinary shares, no par value per share (“Ordinary Shares”). We assume the public offering price to be $5.03 per share, which is the closing market price of our Ordinary Shares as reported on the Nasdaq Capital Market on February 27, 2026.</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offering price for our securities in this offering will be determined at the time of pricing, and may be at a discount to the then current market price or to the assumed price set forth above. The assumed offering price used throughout this prospectus may not be indicative of the final offering price. The final public offering price will be determined through negotiation between us and investors based upon a number of factors, including our history and our prospects, the industry in which we operate, our past and present operating results, the previous experience of our executive officers and the general condition of the securities markets at the time of this offering.</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under the symbol “WTF.” On February 27, 2026, the closing trading price of our Ordinary Shares, as reported on the Nasdaq Capital Market, was $5.03 per Ordinary Share.</w:t>
      </w:r>
    </w:p>
    <w:p>
      <w:pPr>
        <w:spacing w:after="0" w:line="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 Because there is no minimum offering amount, investors could be in a position where they have invested in our Company, but we are unable to fulfill our objectives due to a lack of interest in this offering. Also, any proceeds from the sale of securities offered by us will be available for our immediate use, despite uncertainty about whether we would be able to use such funds to effectively implement our business plan.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EE"/>
        </w:rPr>
        <w:t>12</w:t>
      </w:r>
      <w:r>
        <w:rPr>
          <w:rFonts w:ascii="Times New Roman" w:cs="Times New Roman" w:eastAsia="Times New Roman" w:hAnsi="Times New Roman"/>
          <w:sz w:val="17"/>
          <w:szCs w:val="17"/>
          <w:color w:val="auto"/>
        </w:rPr>
        <w:t xml:space="preserve"> of this prospectus and “</w:t>
      </w:r>
      <w:r>
        <w:rPr>
          <w:rFonts w:ascii="Times New Roman" w:cs="Times New Roman" w:eastAsia="Times New Roman" w:hAnsi="Times New Roman"/>
          <w:sz w:val="17"/>
          <w:szCs w:val="17"/>
          <w:i w:val="1"/>
          <w:iCs w:val="1"/>
          <w:color w:val="auto"/>
        </w:rPr>
        <w:t>Item 3. Key Information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 Risk Factors</w:t>
      </w:r>
      <w:r>
        <w:rPr>
          <w:rFonts w:ascii="Times New Roman" w:cs="Times New Roman" w:eastAsia="Times New Roman" w:hAnsi="Times New Roman"/>
          <w:sz w:val="17"/>
          <w:szCs w:val="17"/>
          <w:color w:val="auto"/>
        </w:rPr>
        <w:t>” in our annual report on Form 20-F for the fiscal year ended March 31, 2025 (the “2025 Annual Report”) filed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U.S. Securities and Exchange Commission (“SEC”) on July 24, 2025 for more information. We intend to complete one closing of this offering but may undertake one or more additional closings for the sale of the additional securities to the investors in the initial closing. We expect to hold an initial closing on [•], 2026, but the offering will be terminated by [•], 2026, provided that the closing(s) of the offering for all of the Ordinary Shares have not occurred by such termination date, which date may be extended by us. Any extensions or material changes to the terms of the offering will be contained in an amendment to this prospectus.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offering the securities on a best-efforts basis. There is currently no underwriter or placement agent engaged in connection with this offering. Our officers and directors may participate in the offering of the securities on our behalf and intend to rely on the safe harbor from broker-dealer registration set forth in Rule 3a4-1 under the Securities Exchange Act of 1934, as amended, or the Exchange Act. Such persons will not receive any commissions or other transaction-based compensation in connection with their participation in this offering. From time to time, we may engage appropriately licensed broker-dealers or other financial intermediaries in non-U.S. jurisdictions, in compliance with applicable laws and regulations, to assist in introducing the offering to potential investors located outside the United States and facilitating communications with such investors. Any such activities will be conducted in accordance with applicable securities laws.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applicable U.S. federal securities laws and are, therefore, eligible for reduced public company reporting requirements. See “</w:t>
      </w:r>
      <w:r>
        <w:rPr>
          <w:rFonts w:ascii="Times New Roman" w:cs="Times New Roman" w:eastAsia="Times New Roman" w:hAnsi="Times New Roman"/>
          <w:sz w:val="18"/>
          <w:szCs w:val="18"/>
          <w:i w:val="1"/>
          <w:iCs w:val="1"/>
          <w:color w:val="auto"/>
        </w:rPr>
        <w:t>Prospectus Summary — Implications of Being an 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for more information.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BVI business company, limited by shares, incorporated in the British Virgin Islands. Under the rules of the SEC, we currently qualify for treatment as a “foreign private issuer.” As a foreign private issuer, we will not be required to file periodic reports and financial statements with the U.S. Securities and Exchange Commission, or the SEC, as frequently or as promptly as domestic registrants whose securities are registered under the Exchange Act. We are a “foreign private issuer” within the meaning of the Nasdaq listing standards and currently rely on the corporate governance exemptions afforded to a “foreign private issuer” under the Nasdaq listing standards. Please read “</w:t>
      </w:r>
      <w:r>
        <w:rPr>
          <w:rFonts w:ascii="Times New Roman" w:cs="Times New Roman" w:eastAsia="Times New Roman" w:hAnsi="Times New Roman"/>
          <w:sz w:val="18"/>
          <w:szCs w:val="18"/>
          <w:i w:val="1"/>
          <w:iCs w:val="1"/>
          <w:color w:val="auto"/>
        </w:rPr>
        <w:t>Implications of Being a Foreign Private Issuer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of this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105410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Investors purchasing securities in this offering are purchasing securities of Waton Financial Limited, a British Virgin Islands holding company, rather than the securities of Waton Financial Limited’s subsidiaries that conduct substantive business operations primarily in Hong Kong. Waton Financial Limited is not a Hong Kong operating company, but is rather a holding company incorporated in the British Virgin Islands. Waton Financial Limited has no material operations of its own, and conducts substantive business operations through its subsidiaries primarily based in Hong Kong. Our subsidiaries are controlled by Waton Financial Limited through equity ownership. For a description of our corporate structure, see “</w:t>
      </w:r>
      <w:r>
        <w:rPr>
          <w:rFonts w:ascii="Times New Roman" w:cs="Times New Roman" w:eastAsia="Times New Roman" w:hAnsi="Times New Roman"/>
          <w:sz w:val="18"/>
          <w:szCs w:val="18"/>
          <w:b w:val="1"/>
          <w:bCs w:val="1"/>
          <w:i w:val="1"/>
          <w:iCs w:val="1"/>
          <w:color w:val="auto"/>
        </w:rPr>
        <w:t>Corporate History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Structure</w:t>
      </w:r>
      <w:r>
        <w:rPr>
          <w:rFonts w:ascii="Times New Roman" w:cs="Times New Roman" w:eastAsia="Times New Roman" w:hAnsi="Times New Roman"/>
          <w:sz w:val="18"/>
          <w:szCs w:val="18"/>
          <w:b w:val="1"/>
          <w:bCs w:val="1"/>
          <w:color w:val="auto"/>
        </w:rPr>
        <w:t>” of this prospectus. Investors in this offering may never directly hold any equity interests in Waton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Limited’s subsidiaries that conduct substantive business operations primarily in Hong Kong.</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used in this prospectus, references to “we”, “us”, “our”, or the “Company” refer to Waton Financial Limited, the British Virgin Islands business company that will issue securities of this offering and when the financial results of Waton Financial Limited are described, also include its consolidated subsidiaries. References to “WSI” are to Waton Securities International Limited and references to “WTI” are to Waton Technology International Limited; WSI and WTI being Waton Financial Limited’s subsidiaries that primarily conduct substantive business operations in Hong Kong. References to “WTF Technology” are to WTF Technology (Hangzhou) Co. Ltd., a limited liability company which is 100% owned by WTI and was incorporated in Hangzhou City, Mainland China on February 10, 2026.</w:t>
      </w:r>
    </w:p>
    <w:p>
      <w:pPr>
        <w:spacing w:after="0" w:line="7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including the risk of losing your entire investment.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12</w:t>
      </w:r>
      <w:r>
        <w:rPr>
          <w:rFonts w:ascii="Times New Roman" w:cs="Times New Roman" w:eastAsia="Times New Roman" w:hAnsi="Times New Roman"/>
          <w:sz w:val="18"/>
          <w:szCs w:val="18"/>
          <w:b w:val="1"/>
          <w:bCs w:val="1"/>
          <w:color w:val="auto"/>
        </w:rPr>
        <w:t xml:space="preserve"> of this prospectus and “</w:t>
      </w:r>
      <w:r>
        <w:rPr>
          <w:rFonts w:ascii="Times New Roman" w:cs="Times New Roman" w:eastAsia="Times New Roman" w:hAnsi="Times New Roman"/>
          <w:sz w:val="18"/>
          <w:szCs w:val="18"/>
          <w:b w:val="1"/>
          <w:bCs w:val="1"/>
          <w:i w:val="1"/>
          <w:iCs w:val="1"/>
          <w:color w:val="auto"/>
        </w:rPr>
        <w:t>Item 3. Key Information — D. Risk Factors</w:t>
      </w:r>
      <w:r>
        <w:rPr>
          <w:rFonts w:ascii="Times New Roman" w:cs="Times New Roman" w:eastAsia="Times New Roman" w:hAnsi="Times New Roman"/>
          <w:sz w:val="18"/>
          <w:szCs w:val="18"/>
          <w:b w:val="1"/>
          <w:bCs w:val="1"/>
          <w:color w:val="auto"/>
        </w:rPr>
        <w:t>” in our 2025 Annual Report to read about factors you should consider before buying our securities.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Waton Financial Limited is a British Virgin Islands holding company with no material operations of its own and conducts its operations primarily in Hong Kong through its subsidiaries, including WSI and WTI. Waton Financial Limited holds equity interests in its subsidiaries in Hong Kong, Mainland China, the Cayman Islands and the British Virgin Islands. Investors are purchasing the securities of Waton Financial Limited, a British Virgin Islands holding company, and not the securities of its subsidiaries. This corporate structure involves unique risks to investors. As a holding company, Waton Financial Limited may rely on dividends from its subsidiaries for cash requirements, including any payment of dividends to its shareholders. The subsidiaries’ ability to pay dividends to Waton Financial Limited may be restricted by the debt the subsidiaries incur on their own behalf or laws and regulations applicable to them. See “</w:t>
      </w:r>
      <w:r>
        <w:rPr>
          <w:rFonts w:ascii="Times New Roman" w:cs="Times New Roman" w:eastAsia="Times New Roman" w:hAnsi="Times New Roman"/>
          <w:sz w:val="18"/>
          <w:szCs w:val="18"/>
          <w:i w:val="1"/>
          <w:iCs w:val="1"/>
          <w:color w:val="auto"/>
        </w:rPr>
        <w:t>Item 3. Key Information — D. Risk Factors — Risks Related to Our Ordinary Shares — We rely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 or other distributions to our shareholders</w:t>
      </w:r>
      <w:r>
        <w:rPr>
          <w:rFonts w:ascii="Times New Roman" w:cs="Times New Roman" w:eastAsia="Times New Roman" w:hAnsi="Times New Roman"/>
          <w:sz w:val="18"/>
          <w:szCs w:val="18"/>
          <w:color w:val="auto"/>
        </w:rPr>
        <w:t>” in our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w:t>
      </w:r>
    </w:p>
    <w:p>
      <w:pPr>
        <w:spacing w:after="0" w:line="7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We and our subsidiaries face various legal and operational risks and uncertainties associated with being based, or having the majority of the operations, in Hong Kong. Our subsidiaries are headquartered in Hong Kong. However, since a minimal portion of our subsidiaries’ customers are Mainland China nationals and one of our subsidiaries operates in Mainland China as a cost center, we and our subsidiaries may become subject to certain PRC laws and regulations as they continue to evolve, and we and our subsidiaries face uncertainties as to whether and how the recent PRC government statements and regulatory developments, such as those relating to data and cyberspace security, and anti-monopoly concerns, would apply to us and our subsidiaries. PRC laws and regulations are sometimes evolving rapidly, and as a result, to the extent that any PRC laws and regulations become applicable to us and/or our subsidiaries in the future, we and/or our subsidiaries may experience material changes in operations, restrictions in our subsidiaries’ ability to accept foreign investments and/or our ability to list on a U.S. or other foreign exchange, significant depreciation of the value of our securities, a complete hindrance of our ability to offer or continue to offer our securities to investors, or the value of such securities may significantly decline or be worthless. For example, if the recent regulatory actions of the PRC government on data security or other data-related laws and regulations were to apply to us and/or our subsidiaries, we and/or our subsidiaries could become subject to certain cybersecurity and data privacy obligations, including the potential requirement to conduct a cybersecurity review for our public offerings on a foreign stock exchange, and the failure to meet such obligations could result in penalties and other regulatory actions against us and/or our subsidiaries and may materially and adversely affect our subsidiaries’ business and our results of operations. See “</w:t>
      </w:r>
      <w:r>
        <w:rPr>
          <w:rFonts w:ascii="Times New Roman" w:cs="Times New Roman" w:eastAsia="Times New Roman" w:hAnsi="Times New Roman"/>
          <w:sz w:val="18"/>
          <w:szCs w:val="18"/>
          <w:i w:val="1"/>
          <w:iCs w:val="1"/>
          <w:color w:val="auto"/>
        </w:rPr>
        <w:t>Risk Factors — Risks Related to Doing Business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in which our Subsidiaries Operate — If we and our subsidiaries were to be required to comply with cybersecurity, data privacy, data protection, or any other PRC laws and regulations related thereto and we and our subsidiaries are unable to comply with such PRC laws and regulations, our financial condition, and results of operations may be materially and adversely affected</w:t>
      </w:r>
      <w:r>
        <w:rPr>
          <w:rFonts w:ascii="Times New Roman" w:cs="Times New Roman" w:eastAsia="Times New Roman" w:hAnsi="Times New Roman"/>
          <w:sz w:val="18"/>
          <w:szCs w:val="18"/>
          <w:color w:val="auto"/>
        </w:rPr>
        <w:t>.” We believe that we are not currently required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permission from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complete any filing procedures with the PRC government to list on a U.S. securities exchange and consummate this offering; however, there is no guarantee that this will continue to be the case in the future in relation to the continued listing of our securities on a securities exchange outside of Mainland China, or even when or if such permission is obtained or such filing is completed, it will not be subsequently denied or rescinded. On February 17, 2023, the China Securities Regulatory Commission (the “CSRC”) promulgated the Trial Administrative Measures of Overseas Securities Offering and Listing by Domestic Companies, or the Trial Measures, and five supporting guidelines, which took effect on March 31, 2023. Based on the opinion of our counsel as to PRC laws, Global Law Office, at the time of our initial public offering, we were not subject to the Trial Measures. However, due to the establishment and operation of our PRC subsidiary, there exists uncertainty with respect to the further implementation and interpretation of the principle of “substance over form” and we may be subject to the Trial Measures in the future. If we later find out that we and/or our subsidiaries were to be required to obtain any permission or approval from or were required to complete any filing procedure with the CSRC, the Cyberspace Administration of China (the “CAC”), or other PRC governmental authorities in connection with this offering under PRC law, we and/or our subsidiaries may be fined or subject to other sanctions, and our subsidiaries’ business and our reputation, financial condition, and results of operations may be materially and adversely affected.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Doing Business in the Jurisdiction in which our Subsidiaries Operate — If we were to be required to obtain any permission or approval from or complete any filing procedures with the CSRC, the CAC, or other PRC governmental authorities in connection with this offering under the PRC laws, we may be fined or subject to other sanctions</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the PRC government may influence the Hong Kong operations of an offshore holding company, such as those of our subsidiaries, at any time. These risks could hinder our ability to offer or continue to offer our securities, result in a material adverse change to our subsidiaries’ business operations, and damage our reputation, which could cause our securities to significantly decline in value or become worthless. For a detailed description of risks relating to the potential impact of PRC laws and regulations on our subsidiaries’ business operations, see “</w:t>
      </w:r>
      <w:r>
        <w:rPr>
          <w:rFonts w:ascii="Times New Roman" w:cs="Times New Roman" w:eastAsia="Times New Roman" w:hAnsi="Times New Roman"/>
          <w:sz w:val="18"/>
          <w:szCs w:val="18"/>
          <w:i w:val="1"/>
          <w:iCs w:val="1"/>
          <w:color w:val="auto"/>
        </w:rPr>
        <w:t>Item 3. Key Information — D. Risk Factors — Risks Related to Doing Business in the Jurisdiction in which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 Operate — We and our subsidiaries face uncertainties arising from the possible revision regarding the interpretation and implementation of current and any future PRC laws and regulations related to part of our subsidiaries’ business operations</w:t>
      </w:r>
      <w:r>
        <w:rPr>
          <w:rFonts w:ascii="Times New Roman" w:cs="Times New Roman" w:eastAsia="Times New Roman" w:hAnsi="Times New Roman"/>
          <w:sz w:val="18"/>
          <w:szCs w:val="18"/>
          <w:color w:val="auto"/>
        </w:rPr>
        <w:t>” in our 2025 Annual Report.</w:t>
      </w:r>
    </w:p>
    <w:p>
      <w:pPr>
        <w:spacing w:after="0" w:line="8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We also may face risks relating to the lack of Public Company Accounting Oversight Board (the “PCAOB”) inspection on our auditor, which may cause our securities to be delisted from a U.S. stock exchange in the future under the Holding Foreign Companies Accountable Act, or the HFCAA, if the PCAOB is unable to inspect or investigate completely our auditor for two consecutive years. On June 22, 2021, the U.S. Senate passed Accelerating Holding Foreign Companies Accountable Act, and on December 29, 2022, legislation entitled “Consolidated Appropriations Act, 2023” (the “Consolidated Appropriations Act”) was signed into law by President Biden, which contained, among other things, an identical provision to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before our securities may be prohibited from trading or delisted. The delisting or the cessation of trading of our Ordinary Shares, or the threat of their being delisted or prohibited from being traded, may materially and adversely affect the value of your investment. On December 16, 2021, the PCAOB issued a report to notify the SEC its determinations that it is unable to inspect or investigate completely registered public accounting firms headquartered in Mainland China and Hong Kong, respectively, and identifies the registered public accounting firms in Mainland China and Hong Kong that are subject to such determinations. The auditor of the Company, UHY LLP, is not among the auditor firms listed on the determination list issued by the PCAOB, which notes all of the auditor firms that the PCAOB is not able to inspect. UHY LLP is an independent registered public accounting firm with the PCAOB headquartered in the United States, having its last inspection report dated in March 2025. On August 26, 2022, the CSRC, the Ministry of Finance of the PRC, and the PCAOB signed a Statement of Protocol, or the Protocol, governing inspections and investigations of audit firms based in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Our securities may be delisted or prohibited from trading if the PCAOB determines that it cannot inspect or investigate completely our auditor under the HFCAA. See “</w:t>
      </w:r>
      <w:r>
        <w:rPr>
          <w:rFonts w:ascii="Times New Roman" w:cs="Times New Roman" w:eastAsia="Times New Roman" w:hAnsi="Times New Roman"/>
          <w:sz w:val="18"/>
          <w:szCs w:val="18"/>
          <w:i w:val="1"/>
          <w:iCs w:val="1"/>
          <w:color w:val="auto"/>
        </w:rPr>
        <w:t>Item 3.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i w:val="1"/>
          <w:iCs w:val="1"/>
          <w:color w:val="auto"/>
        </w:rPr>
        <w:t>Information — D. Risk Factors — Risks Related to Our Ordinary Shares — Our Ordinary Shares may be delisted or prohibited from being traded over-the-counter under the HFCAA if the PCAOB is unable to inspect or investigate completely the Company’s auditor for two consecutive years</w:t>
      </w:r>
      <w:r>
        <w:rPr>
          <w:rFonts w:ascii="Times New Roman" w:cs="Times New Roman" w:eastAsia="Times New Roman" w:hAnsi="Times New Roman"/>
          <w:sz w:val="18"/>
          <w:szCs w:val="18"/>
          <w:color w:val="auto"/>
        </w:rPr>
        <w:t>” in our 2025 Annual Report.</w:t>
      </w:r>
    </w:p>
    <w:p>
      <w:pPr>
        <w:spacing w:after="0" w:line="67"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Since the incorporation of our British Virgin Islands holding company, with the exception of funds received for daily operational purposes from Mr. Zhou Kai, our Chairman of the Board, Director, Chief Technology Officer and a shareholder who owns more than 5% of our issued and outstanding Ordinary Shares as of the date of this prospectus, no cash flows have occurred between our holding company and our subsidiaries, except for the provision of a capital contributions to WSI by the Company in the amount of (i) US$1 million during the fiscal year ended March 31, 2023, (ii) US$5.1 million in November 2024, and (iii) US$18.0 million in April 2025. Currently, we do not intend to have our holding company distribute dividends in the future and we do not have a fixed dividend policy. Our board of directors has complete discretion on whether to distribute dividends, subject to applicable laws. See “</w:t>
      </w:r>
      <w:r>
        <w:rPr>
          <w:rFonts w:ascii="Times New Roman" w:cs="Times New Roman" w:eastAsia="Times New Roman" w:hAnsi="Times New Roman"/>
          <w:sz w:val="18"/>
          <w:szCs w:val="18"/>
          <w:i w:val="1"/>
          <w:iCs w:val="1"/>
          <w:color w:val="auto"/>
        </w:rPr>
        <w:t>Item 3.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 D. Risk Factors — Risks Related to Our Ordinary Shares and This Offering — Because the amount, timing, and whether or not we distribute dividends at all is entirely at the discretion of our board of directors, you must rely on price appreciation of our Ordinary Shares for return on your investment</w:t>
      </w:r>
      <w:r>
        <w:rPr>
          <w:rFonts w:ascii="Times New Roman" w:cs="Times New Roman" w:eastAsia="Times New Roman" w:hAnsi="Times New Roman"/>
          <w:sz w:val="18"/>
          <w:szCs w:val="18"/>
          <w:color w:val="auto"/>
        </w:rPr>
        <w:t>” in our 2025 Annual Report.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needed, cash can be transferred between our holding company and subsidiaries through intercompany fund advances, and there are currently no restrictions of transferring funds between our British Virgin Islands holding company and our subsidiaries in the Cayman Islands and Hong Kong. However, our ability to transfer cash in and expatriate cash out of the PRC is subject to foreign exchange control requirements in the PRC. We rely in part on dividends and other distributions on equity paid by our subsidiaries in Hong Kong for our cash and financing requirements, such as the funds necessary to service any debt we may incur. Any such controls or restrictions may adversely affect our ability to finance our cash requirements, service debt or make dividends or other distributions to our shareholders. See “</w:t>
      </w:r>
      <w:r>
        <w:rPr>
          <w:rFonts w:ascii="Times New Roman" w:cs="Times New Roman" w:eastAsia="Times New Roman" w:hAnsi="Times New Roman"/>
          <w:sz w:val="18"/>
          <w:szCs w:val="18"/>
          <w:i w:val="1"/>
          <w:iCs w:val="1"/>
          <w:color w:val="auto"/>
        </w:rPr>
        <w:t>Item 3. Key Information — D. Risk Factors — Risks Related to Our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Offering — 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 or other distributions to our shareholders</w:t>
      </w:r>
      <w:r>
        <w:rPr>
          <w:rFonts w:ascii="Times New Roman" w:cs="Times New Roman" w:eastAsia="Times New Roman" w:hAnsi="Times New Roman"/>
          <w:sz w:val="18"/>
          <w:szCs w:val="18"/>
          <w:color w:val="auto"/>
        </w:rPr>
        <w:t>” in our 2025 Annual Report.</w:t>
      </w:r>
    </w:p>
    <w:p>
      <w:pPr>
        <w:spacing w:after="0" w:line="9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our largest shareholder, WATON CORPORATION LIMITED, will beneficially own approximately 76.46% of the aggregate voting power of our outstanding Ordinary Shares. As such, we will be deemed a “controlled company” within the meaning of the Nasdaq listing standards. We currently do not intend to rely on the corporate governance exemptions afforded to a “controlled company” under the Nasdaq listing standards. However, we may avail ourselves of such exemptions in the future. See “</w:t>
      </w:r>
      <w:r>
        <w:rPr>
          <w:rFonts w:ascii="Times New Roman" w:cs="Times New Roman" w:eastAsia="Times New Roman" w:hAnsi="Times New Roman"/>
          <w:sz w:val="18"/>
          <w:szCs w:val="18"/>
          <w:i w:val="1"/>
          <w:iCs w:val="1"/>
          <w:color w:val="auto"/>
        </w:rPr>
        <w:t>Prospectus Summary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Controlled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39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9"/>
                <w:szCs w:val="29"/>
                <w:color w:val="auto"/>
                <w:vertAlign w:val="superscript"/>
              </w:rPr>
              <w:t>(1)</w:t>
            </w:r>
          </w:p>
        </w:tc>
        <w:tc>
          <w:tcPr>
            <w:tcW w:w="29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100965</wp:posOffset>
            </wp:positionV>
            <wp:extent cx="822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4" w:lineRule="exact"/>
        <w:rPr>
          <w:sz w:val="20"/>
          <w:szCs w:val="20"/>
          <w:color w:val="auto"/>
        </w:rPr>
      </w:pPr>
    </w:p>
    <w:p>
      <w:pPr>
        <w:ind w:left="640" w:hanging="348"/>
        <w:spacing w:after="0"/>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total expenses of this offering payable by us, will be approximately $0.36 million.</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Because there is no minimum offering amount required as a condition to closing in this offering, the actual offering amount and proceeds to us, if any, are not presently determinable and may be substantially less than the total maximum offering amounts set forth above and throughout this prospectus.</w:t>
      </w:r>
    </w:p>
    <w:p>
      <w:pPr>
        <w:spacing w:after="0" w:line="6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080" w:type="dxa"/>
            <w:vAlign w:val="bottom"/>
            <w:tcBorders>
              <w:bottom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tcBorders>
              <w:bottom w:val="single" w:sz="8" w:color="CCEEFF"/>
            </w:tcBorders>
            <w:gridSpan w:val="15"/>
            <w:shd w:val="clear" w:color="auto" w:fill="CCEEFF"/>
          </w:tcPr>
          <w:p>
            <w:pPr>
              <w:spacing w:after="0"/>
              <w:rPr>
                <w:sz w:val="20"/>
                <w:szCs w:val="20"/>
                <w:color w:val="auto"/>
              </w:rPr>
            </w:pPr>
          </w:p>
        </w:tc>
        <w:tc>
          <w:tcPr>
            <w:tcW w:w="180" w:type="dxa"/>
            <w:vAlign w:val="bottom"/>
            <w:tcBorders>
              <w:bottom w:val="single" w:sz="8" w:color="CCEEFF"/>
            </w:tcBorders>
            <w:gridSpan w:val="3"/>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4720" w:type="dxa"/>
            <w:vAlign w:val="bottom"/>
            <w:gridSpan w:val="8"/>
          </w:tcPr>
          <w:p>
            <w:pPr>
              <w:spacing w:after="0"/>
              <w:rPr>
                <w:sz w:val="16"/>
                <w:szCs w:val="16"/>
                <w:color w:val="auto"/>
              </w:rPr>
            </w:pP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5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6560" w:type="dxa"/>
            <w:vAlign w:val="bottom"/>
            <w:gridSpan w:val="19"/>
          </w:tcPr>
          <w:p>
            <w:pPr>
              <w:spacing w:after="0"/>
              <w:rPr>
                <w:sz w:val="16"/>
                <w:szCs w:val="16"/>
                <w:color w:val="auto"/>
              </w:rPr>
            </w:pP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DILUTION</w:t>
            </w:r>
          </w:p>
        </w:tc>
        <w:tc>
          <w:tcPr>
            <w:tcW w:w="7260" w:type="dxa"/>
            <w:vAlign w:val="bottom"/>
            <w:gridSpan w:val="26"/>
            <w:shd w:val="clear" w:color="auto" w:fill="CCEEFF"/>
          </w:tcPr>
          <w:p>
            <w:pPr>
              <w:spacing w:after="0"/>
              <w:rPr>
                <w:sz w:val="16"/>
                <w:szCs w:val="16"/>
                <w:color w:val="auto"/>
              </w:rPr>
            </w:pP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tcBorders>
              <w:bottom w:val="single" w:sz="8" w:color="0000EE"/>
            </w:tcBorders>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3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80" w:type="dxa"/>
            <w:vAlign w:val="bottom"/>
            <w:shd w:val="clear" w:color="auto" w:fill="CCEEFF"/>
          </w:tcPr>
          <w:p>
            <w:pPr>
              <w:spacing w:after="0"/>
              <w:rPr>
                <w:sz w:val="17"/>
                <w:szCs w:val="17"/>
                <w:color w:val="auto"/>
              </w:rPr>
            </w:pPr>
          </w:p>
        </w:tc>
        <w:tc>
          <w:tcPr>
            <w:tcW w:w="110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OPERATIONS</w:t>
            </w:r>
          </w:p>
        </w:tc>
        <w:tc>
          <w:tcPr>
            <w:tcW w:w="6840" w:type="dxa"/>
            <w:vAlign w:val="bottom"/>
            <w:gridSpan w:val="22"/>
            <w:shd w:val="clear" w:color="auto" w:fill="CCEEFF"/>
          </w:tcPr>
          <w:p>
            <w:pPr>
              <w:spacing w:after="0"/>
              <w:rPr>
                <w:sz w:val="17"/>
                <w:szCs w:val="17"/>
                <w:color w:val="auto"/>
              </w:rPr>
            </w:pPr>
          </w:p>
        </w:tc>
        <w:tc>
          <w:tcPr>
            <w:tcW w:w="28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4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REGULATIONS</w:t>
            </w:r>
          </w:p>
        </w:tc>
        <w:tc>
          <w:tcPr>
            <w:tcW w:w="6880" w:type="dxa"/>
            <w:vAlign w:val="bottom"/>
            <w:gridSpan w:val="24"/>
            <w:shd w:val="clear" w:color="auto" w:fill="CCEEFF"/>
          </w:tcPr>
          <w:p>
            <w:pPr>
              <w:spacing w:after="0"/>
              <w:rPr>
                <w:sz w:val="16"/>
                <w:szCs w:val="16"/>
                <w:color w:val="auto"/>
              </w:rPr>
            </w:pP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PRINCIPAL SHAREHOLDERS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EXPENSES RELATING TO THIS OFFERING</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20"/>
          </w:tcPr>
          <w:p>
            <w:pPr>
              <w:spacing w:after="0"/>
              <w:rPr>
                <w:sz w:val="16"/>
                <w:szCs w:val="16"/>
                <w:color w:val="auto"/>
              </w:rPr>
            </w:pP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68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CHANGE IN REGISTRANT’S CERTIFYING ACCOUNTANT</w:t>
            </w:r>
          </w:p>
        </w:tc>
        <w:tc>
          <w:tcPr>
            <w:tcW w:w="3440" w:type="dxa"/>
            <w:vAlign w:val="bottom"/>
            <w:gridSpan w:val="4"/>
            <w:shd w:val="clear" w:color="auto" w:fill="CCEEFF"/>
          </w:tcPr>
          <w:p>
            <w:pPr>
              <w:spacing w:after="0"/>
              <w:rPr>
                <w:sz w:val="16"/>
                <w:szCs w:val="16"/>
                <w:color w:val="auto"/>
              </w:rPr>
            </w:pP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6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40" w:type="dxa"/>
            <w:vAlign w:val="bottom"/>
            <w:gridSpan w:val="4"/>
          </w:tcPr>
          <w:p>
            <w:pPr>
              <w:spacing w:after="0"/>
              <w:rPr>
                <w:sz w:val="16"/>
                <w:szCs w:val="16"/>
                <w:color w:val="auto"/>
              </w:rPr>
            </w:pP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MATERIAL CHANGES</w:t>
            </w:r>
          </w:p>
        </w:tc>
        <w:tc>
          <w:tcPr>
            <w:tcW w:w="6320" w:type="dxa"/>
            <w:vAlign w:val="bottom"/>
            <w:gridSpan w:val="17"/>
            <w:shd w:val="clear" w:color="auto" w:fill="CCEEFF"/>
          </w:tcPr>
          <w:p>
            <w:pPr>
              <w:spacing w:after="0"/>
              <w:rPr>
                <w:sz w:val="16"/>
                <w:szCs w:val="16"/>
                <w:color w:val="auto"/>
              </w:rPr>
            </w:pP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20" w:type="dxa"/>
            <w:vAlign w:val="bottom"/>
            <w:shd w:val="clear" w:color="auto" w:fill="CCEEFF"/>
          </w:tcPr>
          <w:p>
            <w:pPr>
              <w:spacing w:after="0"/>
              <w:rPr>
                <w:sz w:val="16"/>
                <w:szCs w:val="16"/>
                <w:color w:val="auto"/>
              </w:rPr>
            </w:pPr>
          </w:p>
        </w:tc>
        <w:tc>
          <w:tcPr>
            <w:tcW w:w="2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EE"/>
                <w:w w:val="96"/>
              </w:rPr>
              <w:t>II-1</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shd w:val="clear" w:color="auto" w:fill="CCEEFF"/>
          </w:tcPr>
          <w:p>
            <w:pPr>
              <w:spacing w:after="0"/>
              <w:rPr>
                <w:sz w:val="16"/>
                <w:szCs w:val="16"/>
                <w:color w:val="auto"/>
              </w:rPr>
            </w:pPr>
          </w:p>
        </w:tc>
        <w:tc>
          <w:tcPr>
            <w:tcW w:w="3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w w:val="96"/>
              </w:rPr>
              <w:t>II-5</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any information or to make any representations other than those contained in or incorporated by reference into this prospectus or in any free writing prospectuses prepared by us or on our behalf or to which we have referred you. We take no responsibility for and can provide no assurance as to the reliability of, any other information that others may give you. This prospectus is an offer to sell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For the avoidance of doubt, no offer or invitation to subscribe for the Ordinary Shares is made to the public in the British Virgin Islands. The information contained in this prospectus is current only as of the date on the front cover of the prospectus. Our business, financial condition, results of operations, and prospects may have changed since that date.</w:t>
      </w:r>
    </w:p>
    <w:p>
      <w:pPr>
        <w:spacing w:after="0" w:line="8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not taken any action to permit this offering of securities outside the United States or to permit the possession or distribution of this prospectus or any filed free-writing prospectus outside the United States. Persons outside the United States who come into possession of this prospectus or any filed free writing prospectus must inform themselves about, and observe any restrictions relating to, the offering of securities and the distribution of this prospectus or any filed free-writing prospectus outside the United States.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to:</w:t>
      </w:r>
    </w:p>
    <w:p>
      <w:pPr>
        <w:spacing w:after="0" w:line="117"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 are to a mobile application;</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Cloud solutions” are to a combination of software licensing and related support services (as defined below), securities brokerage services, margin financing services (as defined below) and other related services provided to securities brokers, where securities brokers are provided with a perpetual on-premise licensed trading platform APP with related support services, and the front-, middle- and back-office operation functions and securities trading function where such securities trading orders can be cleared and settled through WSI;</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Companies Act” are to BVI Business Companies Act, 2004 as amended from time to time;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 including the special administrative regions of Hong Kong and Macau, and Taiwan, for the purposes of this prospectus only;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“we”, “us”, or “our” are to Waton Financial Limited, a BVI business company incorporated under the laws of the British Virgin Islands, and when describing the financial results of Waton Financial Limited, also includes its consolidated subsidiaries, unless the context otherwise indicates;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are to financial technology;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are to the Company and our subsidiaries, collectively;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and “Hong Kong dollars” are to the legal currency of Hong Kong;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“HKSFC” are to the Securities and Futures Commission of Hong Kong;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“HKSFO” are to the Securities and Futures Ordinance (Chapter 571 of the Laws of Hong Kong);</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are to the Hong Kong Special Administrative Region of the People’s Republic of China for the purposes of this prospectus only;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or “Mainland China” are to the mainland of the People’s Republic of China, excluding Taiwan, the special administrative regions of Hong Kong and Macau for the purposes of this prospectus only; the term “Mainland Chinese” has a correlative meaning for the purpose of this prospectus;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financing services” are to the margin loans provided by WSI to its customers for their purchase of securities on the secondary market or for their subscription to shares offered under initial public offerings;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 and Articles of Association” are to the amended and restated memorandum and articles of association which are currently effective, as may be further amended from time to time;</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are to the Company’s subsidiaries, the financial statements of which are consolidated in the financial statements of the Company;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 “PRC governmental authority” or “PRC governmental authorities” are to the government and governmental authorities of mainland China, for the purposes of this prospectus only;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laws” or “PRC laws and regulations” are to the laws and regulations of mainland China, for the purposes of this prospectus only;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China;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“Shares” or “Ordinary Shares” are to the ordinary shares of Waton Financial Limited, with no par value per share;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licensing and related support services” are to a range of fintech services, including, but not limited to, the licensing of a trading platform APP with securities trading, clearing and settlement functions and the front-, middle- and back-office operation functions, optional cloud-based maintenance and support services, unspecified updates and enhancements, and related support services provided by WSI or WTI to securities brokers and securities-related financial institutions;</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“U.S. dollars” and “USD” are to the legal currency of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“WTF Technology” are to WTF Technology (Hangzhou) Co. Ltd., a limited liability company which is 100% owned by WTI and was incorporated in Hangzhou City, Mainland China on February 10, 2026;</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“WSI” are to our wholly-owned subsidiary, Waton Securities International Limited</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
          <w:szCs w:val="1"/>
          <w:color w:val="auto"/>
        </w:rPr>
        <w:drawing>
          <wp:inline distT="0" distB="0" distL="0" distR="0">
            <wp:extent cx="916940" cy="939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6940" cy="93980"/>
                    </a:xfrm>
                    <a:prstGeom prst="rect">
                      <a:avLst/>
                    </a:prstGeom>
                    <a:noFill/>
                    <a:ln>
                      <a:noFill/>
                    </a:ln>
                  </pic:spPr>
                </pic:pic>
              </a:graphicData>
            </a:graphic>
          </wp:inline>
        </w:drawing>
      </w:r>
      <w:r>
        <w:rPr>
          <w:rFonts w:ascii="Times New Roman" w:cs="Times New Roman" w:eastAsia="Times New Roman" w:hAnsi="Times New Roman"/>
          <w:sz w:val="17"/>
          <w:szCs w:val="17"/>
          <w:color w:val="auto"/>
        </w:rPr>
        <w:t>), a limited liability company incorporated in Hong Kong on April 28, 1989, formerly</w:t>
      </w:r>
    </w:p>
    <w:p>
      <w:pPr>
        <w:spacing w:after="0" w:line="20" w:lineRule="exact"/>
        <w:rPr>
          <w:rFonts w:ascii="Times New Roman" w:cs="Times New Roman" w:eastAsia="Times New Roman" w:hAnsi="Times New Roman"/>
          <w:sz w:val="18"/>
          <w:szCs w:val="18"/>
          <w:color w:val="auto"/>
        </w:rPr>
      </w:pPr>
    </w:p>
    <w:p>
      <w:pPr>
        <w:ind w:left="1020" w:right="2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as WATON SECURITIES (INTERNATIONAL) LIMITED (</w:t>
      </w:r>
      <w:r>
        <w:rPr>
          <w:rFonts w:ascii="Times New Roman" w:cs="Times New Roman" w:eastAsia="Times New Roman" w:hAnsi="Times New Roman"/>
          <w:sz w:val="1"/>
          <w:szCs w:val="1"/>
          <w:color w:val="auto"/>
        </w:rPr>
        <w:drawing>
          <wp:inline distT="0" distB="0" distL="0" distR="0">
            <wp:extent cx="917575" cy="946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7575"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from November 17, 2022 to November 30, 2022, HUATONG SECURITIES INT'L LIMITED</w:t>
      </w:r>
    </w:p>
    <w:p>
      <w:pPr>
        <w:jc w:val="both"/>
        <w:ind w:left="1000" w:right="299" w:firstLine="5"/>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
          <w:szCs w:val="1"/>
          <w:color w:val="auto"/>
        </w:rPr>
        <w:drawing>
          <wp:inline distT="0" distB="0" distL="0" distR="0">
            <wp:extent cx="916940" cy="939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6940"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from August 9, 2022 to November 16, 2022, INFAST BROKERAGE LIMITED ( </w:t>
      </w:r>
      <w:r>
        <w:rPr>
          <w:rFonts w:ascii="Times New Roman" w:cs="Times New Roman" w:eastAsia="Times New Roman" w:hAnsi="Times New Roman"/>
          <w:sz w:val="1"/>
          <w:szCs w:val="1"/>
          <w:color w:val="auto"/>
        </w:rPr>
        <w:drawing>
          <wp:inline distT="0" distB="0" distL="0" distR="0">
            <wp:extent cx="728345" cy="939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345"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 from June 20, 1990 to August 8, 2022, and JONESHORN LIMITED (</w:t>
      </w:r>
      <w:r>
        <w:rPr>
          <w:rFonts w:ascii="Times New Roman" w:cs="Times New Roman" w:eastAsia="Times New Roman" w:hAnsi="Times New Roman"/>
          <w:sz w:val="1"/>
          <w:szCs w:val="1"/>
          <w:color w:val="auto"/>
        </w:rPr>
        <w:drawing>
          <wp:inline distT="0" distB="0" distL="0" distR="0">
            <wp:extent cx="548640" cy="9398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8640"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 from April 28, 1989 to June 19, 1990; and</w:t>
      </w:r>
    </w:p>
    <w:p>
      <w:pPr>
        <w:spacing w:after="0" w:line="7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“WTI” are to our wholly-owned subsidiary, Waton Technology International Limited</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
          <w:szCs w:val="1"/>
          <w:color w:val="auto"/>
        </w:rPr>
        <w:drawing>
          <wp:inline distT="0" distB="0" distL="0" distR="0">
            <wp:extent cx="916940" cy="939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6940"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 a limited liability company incorporated in Hong Kong on February 24, 2023.</w:t>
      </w:r>
    </w:p>
    <w:p>
      <w:pPr>
        <w:spacing w:after="0" w:line="9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conduct business primarily in Hong Kong through our subsidiaries, including WSI and WTI, primarily using Hong Kong dollars, the currency of Hong Kong. Our consolidated financial statements are presented in U.S. dollars. In this prospectus, we refer to assets, obligations, commitments and liabilities in our consolidated financial statements in U.S. dollars. These dollar references are based on the exchange rate of Hong Kong dollars to U.S. dollars, determined as of a specific date or for a specific period. Since 1983, Hong Kong dollars have been pegged to the U.S. dollars at the rate of approximately HK$7.80 to US$1.00. Changes in the exchange rate will affect the amount of our obligations and the value of our assets in terms of U.S. dollars which may result in an increase or decrease in the amount of our obligations (expressed in U.S. dollars) and the value of our assets, including accounts receivable (expressed in U.S. dollars).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08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82080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20" w:right="799"/>
        <w:spacing w:after="0" w:line="286" w:lineRule="auto"/>
        <w:rPr>
          <w:sz w:val="20"/>
          <w:szCs w:val="20"/>
          <w:color w:val="auto"/>
        </w:rPr>
      </w:pPr>
      <w:r>
        <w:rPr>
          <w:rFonts w:ascii="Times New Roman" w:cs="Times New Roman" w:eastAsia="Times New Roman" w:hAnsi="Times New Roman"/>
          <w:sz w:val="18"/>
          <w:szCs w:val="18"/>
          <w:b w:val="1"/>
          <w:bCs w:val="1"/>
          <w:color w:val="auto"/>
        </w:rPr>
        <w:t>Investors are cautioned that you are buying shares of a British Virgin Islands holding company without operations of its own.</w:t>
      </w:r>
    </w:p>
    <w:p>
      <w:pPr>
        <w:spacing w:after="0" w:line="49" w:lineRule="exact"/>
        <w:rPr>
          <w:sz w:val="20"/>
          <w:szCs w:val="20"/>
          <w:color w:val="auto"/>
        </w:rPr>
      </w:pPr>
    </w:p>
    <w:p>
      <w:pPr>
        <w:jc w:val="both"/>
        <w:ind w:left="320" w:right="27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incorporated by reference in this prospectus. In addition to this summary, we urge you to read the entire prospectus carefully, especially the risks of investing in our securities, discussed under “Risk Factors” and “Item 3. Key Information — D. Risk Factors” in our 2025 Annual Report before deciding whether to invest in our securities. The reader should not put undue reliance on any forward-looking statements in this document, which speak only as of the date on the cover of this prospectus.</w:t>
      </w:r>
    </w:p>
    <w:p>
      <w:pPr>
        <w:spacing w:after="0" w:line="2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We are a holding company incorporated in the British Virgin Islands. We are a provider of securities brokerage and financial technology services primarily through our Hong Kong subsidiaries, Waton Securities International Limited, or WSI, and Waton Technology International Limited, or WTI.</w:t>
      </w:r>
    </w:p>
    <w:p>
      <w:pPr>
        <w:spacing w:after="0" w:line="68" w:lineRule="exact"/>
        <w:rPr>
          <w:sz w:val="20"/>
          <w:szCs w:val="20"/>
          <w:color w:val="auto"/>
        </w:rPr>
      </w:pPr>
    </w:p>
    <w:p>
      <w:pPr>
        <w:jc w:val="both"/>
        <w:ind w:left="320" w:right="279"/>
        <w:spacing w:after="0" w:line="252" w:lineRule="auto"/>
        <w:rPr>
          <w:sz w:val="20"/>
          <w:szCs w:val="20"/>
          <w:color w:val="auto"/>
        </w:rPr>
      </w:pPr>
      <w:r>
        <w:rPr>
          <w:rFonts w:ascii="Times New Roman" w:cs="Times New Roman" w:eastAsia="Times New Roman" w:hAnsi="Times New Roman"/>
          <w:sz w:val="18"/>
          <w:szCs w:val="18"/>
          <w:color w:val="auto"/>
        </w:rPr>
        <w:t>WSI is principally engaged in the provision of (i) securities brokerage services for securities listed on the Hong Kong Stock Exchange, including shares under the Shanghai-Hong Kong Stock Connect and Shenzhen-Hong Kong Stock Connect, the New York Stock Exchange (NYSE) and the Nasdaq Stock Market, margin financing services and other ancillary services through WSI’s electronic trading platform to its corporate and individual brokerage customers and bond distribution services; and (ii) software licensing (including subscription based) and related support services including the licensing of trading platform APP, upgrades and enhancements, maintenance and other related services (“M&amp;S”) to financial institutions. Since September 2023, WTI has provided software licensing (including subscription based) and related support services in order to focus on the expertise of operations and service areas. WSI has developed and provided Broker Cloud solutions to securities brokers with the combination of software licensing (including subscription based) and related support services, securities brokerage services, margin financing services and other related services, where securities broker customers are provided with a perpetual on-premise licensed trading platform APP and optional related support services, with the front-, middle- and back-office operation functions and securities trading function where securities trading orders can be cleared and settled through WSI.</w:t>
      </w:r>
    </w:p>
    <w:p>
      <w:pPr>
        <w:spacing w:after="0" w:line="89" w:lineRule="exact"/>
        <w:rPr>
          <w:sz w:val="20"/>
          <w:szCs w:val="20"/>
          <w:color w:val="auto"/>
        </w:rPr>
      </w:pPr>
    </w:p>
    <w:p>
      <w:pPr>
        <w:jc w:val="both"/>
        <w:ind w:left="320" w:right="279"/>
        <w:spacing w:after="0" w:line="252" w:lineRule="auto"/>
        <w:rPr>
          <w:sz w:val="20"/>
          <w:szCs w:val="20"/>
          <w:color w:val="auto"/>
        </w:rPr>
      </w:pPr>
      <w:r>
        <w:rPr>
          <w:rFonts w:ascii="Times New Roman" w:cs="Times New Roman" w:eastAsia="Times New Roman" w:hAnsi="Times New Roman"/>
          <w:sz w:val="18"/>
          <w:szCs w:val="18"/>
          <w:color w:val="auto"/>
        </w:rPr>
        <w:t>Founded in 1989, WSI is an established integrated securities broker in the Hong Kong financial services industry. WSI is licensed to conduct Type 1 (dealing in securities), Type 4 (advising on securities), Type 5 (advising on futures contracts) and Type 9 (asset management) regulated activities under HKSFO in Hong Kong. WSI is a Hong Kong Stock Exchange participant and holds one Hong Kong Stock Exchange trading right. WSI provides securities brokerage services through WSI’s integrated electronic trading platform, which is easy to access, use, and deposit to WSI’s customers. The trading platform can be accessed through WSI’s APP, which provides WSI’s customers with a seamless and secured trading experience. WSI offers its customers comprehensive brokerage and value-added services, including trade order placement and execution, account management, and customer support. WSI further provides its customers with market data, news and research, so as to help them make well-informed investment decisions. WSI has accumulated a corporate and individual customer base across the globe, including a securities brokerage company in New Zealand known as Wealth Guardian Investment Limited (“WGI”), which is a related party of the Company. We have historically derived a substantial portion of revenues from WGI, which accounted for 64.2%, 39.5% and 81.5% of our total revenues in the fiscal years ended March 31, 2025, 2024, and 2023, respectively, and approximately 36.6% and 68.0% of our total revenues for the six months ended September 30, 2025 and 2024, respectively. WGI was a significant customer in our recent financial reporting periods, however, effective in October 2025, WGI ceased being our customer. We anticipate that another New Zealand incorporated customer may contribute substantial revenue in the near future, but we can provide no assurance as of the date of this prospectus that any such entity will do so at the same level as WGI historically has or will contribute in a manner that will offset the loss of WGI sufficient to impact future results.</w:t>
      </w:r>
    </w:p>
    <w:p>
      <w:pPr>
        <w:spacing w:after="0" w:line="81" w:lineRule="exact"/>
        <w:rPr>
          <w:sz w:val="20"/>
          <w:szCs w:val="20"/>
          <w:color w:val="auto"/>
        </w:rPr>
      </w:pPr>
    </w:p>
    <w:p>
      <w:pPr>
        <w:jc w:val="both"/>
        <w:ind w:left="320" w:right="299"/>
        <w:spacing w:after="0" w:line="25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 — Risks Related to Our Subsidiaries’ Business and Industry”</w:t>
      </w:r>
      <w:r>
        <w:rPr>
          <w:rFonts w:ascii="Times New Roman" w:cs="Times New Roman" w:eastAsia="Times New Roman" w:hAnsi="Times New Roman"/>
          <w:sz w:val="18"/>
          <w:szCs w:val="18"/>
          <w:color w:val="auto"/>
        </w:rPr>
        <w:t xml:space="preserve"> in our 2025 Annual Report and “</w:t>
      </w:r>
      <w:r>
        <w:rPr>
          <w:rFonts w:ascii="Times New Roman" w:cs="Times New Roman" w:eastAsia="Times New Roman" w:hAnsi="Times New Roman"/>
          <w:sz w:val="18"/>
          <w:szCs w:val="18"/>
          <w:i w:val="1"/>
          <w:iCs w:val="1"/>
          <w:color w:val="auto"/>
        </w:rPr>
        <w:t>Risk Factors — Risks Related to Our Subsidiaries’ Business and Industry — 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61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320" w:right="279"/>
        <w:spacing w:after="0" w:line="252" w:lineRule="auto"/>
        <w:rPr>
          <w:sz w:val="20"/>
          <w:szCs w:val="20"/>
          <w:color w:val="auto"/>
        </w:rPr>
      </w:pPr>
      <w:r>
        <w:rPr>
          <w:rFonts w:ascii="Times New Roman" w:cs="Times New Roman" w:eastAsia="Times New Roman" w:hAnsi="Times New Roman"/>
          <w:sz w:val="18"/>
          <w:szCs w:val="18"/>
          <w:i w:val="1"/>
          <w:iCs w:val="1"/>
          <w:color w:val="auto"/>
        </w:rPr>
        <w:t>financial results.</w:t>
      </w:r>
      <w:r>
        <w:rPr>
          <w:rFonts w:ascii="Times New Roman" w:cs="Times New Roman" w:eastAsia="Times New Roman" w:hAnsi="Times New Roman"/>
          <w:sz w:val="18"/>
          <w:szCs w:val="18"/>
          <w:color w:val="auto"/>
        </w:rPr>
        <w:t>” By capitalizing on its customer base, WSI commenced to provide bond distribution services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as a manager, a placement agent or a non-syndicate capital market intermediary, to procure subscribers to subscribe and pay for bonds in principal amounts during the fiscal year ended March 31, 2024. As of September 30, 2025, WSI had more than 10,000 securities brokerage customers who opened trading accounts with WSI, 90 of which are corporate customers who opened corporate accounts and 12 of which are introducing broker customers who opened omnibus accounts. The remaining portion of the securities brokerage customers are individual customers who opened individual accounts and typically trade through WSI’s trading platform APP. As of the same date, WSI had approximately 1,300 active customers, who were registered customers with assets in their trading accounts. We generate brokerage and commission income from WSI’s securities brokerage, bond distribution and other ancillary services and interest income from WSI’s margin financing services. Our brokerage and commission income and interest income amounted to approximately US$5.5 million, US$9.4 million, and US$2.3 million, and accounted for approximately 74.4%, 93.4% and 39.9% of our total revenues for the fiscal years ended March 31, 2025, 2024, and 2023, respectively, and amounted to approximately US$5.1 million and US$1.8 million, and accounted for approximately 84.0% and 61.3% of our total revenues for the six months ended September 30, 2025 and 2024, respectively.</w:t>
      </w:r>
    </w:p>
    <w:p>
      <w:pPr>
        <w:spacing w:after="0" w:line="90" w:lineRule="exact"/>
        <w:rPr>
          <w:sz w:val="20"/>
          <w:szCs w:val="20"/>
          <w:color w:val="auto"/>
        </w:rPr>
      </w:pPr>
    </w:p>
    <w:p>
      <w:pPr>
        <w:jc w:val="both"/>
        <w:ind w:left="320" w:right="279"/>
        <w:spacing w:after="0" w:line="251" w:lineRule="auto"/>
        <w:rPr>
          <w:sz w:val="20"/>
          <w:szCs w:val="20"/>
          <w:color w:val="auto"/>
        </w:rPr>
      </w:pPr>
      <w:r>
        <w:rPr>
          <w:rFonts w:ascii="Times New Roman" w:cs="Times New Roman" w:eastAsia="Times New Roman" w:hAnsi="Times New Roman"/>
          <w:sz w:val="18"/>
          <w:szCs w:val="18"/>
          <w:color w:val="auto"/>
        </w:rPr>
        <w:t>Leveraging on WSI’s accumulated industry knowledge on the needs of small and medium-sized securities brokers and operational experience in online brokerage over the years, WSI started to develop the provision of fintech solutions in trading platform APP software licensing (including subscription based) and related support services targeting the securities brokers and securities-related financial institutions in April 2021. WSI provides one-stop, integrated and customized software solutions to develop trading platform APP that cover the front-, middle- and back-office operations of securities brokerage business such as electronic trade order placing, customer relationship management and operational data management, in addition to the business-to-business securities order clearing and settlement services provided by WSI in the Broker Cloud solutions, which enables the securities broker customers to digitalize and streamline their business operations, and interact with the financial market more efficiently. As of September 30, 2025, WTI provided software licensing (including subscription based) and related support services to a total of 3 securities brokers and securities-related financial institutions, including WGI, which is a related party of the Company. See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Related to Our Subsidiaries’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Industry — We have 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 financial results.” </w:t>
      </w:r>
      <w:r>
        <w:rPr>
          <w:rFonts w:ascii="Times New Roman" w:cs="Times New Roman" w:eastAsia="Times New Roman" w:hAnsi="Times New Roman"/>
          <w:sz w:val="18"/>
          <w:szCs w:val="18"/>
          <w:color w:val="auto"/>
        </w:rPr>
        <w:t>We generate software licensing and related support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from WSI’s and WTI’s software licensing (including subscription based) and related support services, which amounted to approximately US$1.8 million, US$1.4 million, and US$3.5 million, and accounted for approximately 24.2%, 13.7% and 60.1% of our total revenues for the fiscal years ended March 31, 2025, 2024, and 2023, respectively, and amounted to approximately US$0.7 million and US$1.1 million, and accounted for approximately 10.8% and 38.7% of our total revenues for the six months ended September 30, 2025 and 2024, respectively. WSI and WTI have outsourced the software licensing (including subscription based) and related support services to Shenzhen Jinhui Technology Co., Ltd., which was a related party of the Company. See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Related to Our Subsidiaries’ Business and Industry — WSI and WTI are dependent on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single supplier, Shenzhen Jinhui Technology Co., Ltd., an information technology company, for providing software development and related support services</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left="320" w:right="279"/>
        <w:spacing w:after="0" w:line="252" w:lineRule="auto"/>
        <w:rPr>
          <w:sz w:val="20"/>
          <w:szCs w:val="20"/>
          <w:color w:val="auto"/>
        </w:rPr>
      </w:pPr>
      <w:r>
        <w:rPr>
          <w:rFonts w:ascii="Times New Roman" w:cs="Times New Roman" w:eastAsia="Times New Roman" w:hAnsi="Times New Roman"/>
          <w:sz w:val="18"/>
          <w:szCs w:val="18"/>
          <w:color w:val="auto"/>
        </w:rPr>
        <w:t>Our revenues increased by approximately 106.3% to approximately US$6.1 million for the six months ended September 30, 2025 from approximately US$3.0 million for the same period in 2024. Our revenues decreased by approximately 25.9% from approximately US$10.1 million for the fiscal year ended March 31, 2024 to approximately US$7.5 million for the fiscal year ended March 31, 2025. Our revenues grew by approximately 75.2% from approximately US$5.7 million for the fiscal year ended March 31, 2023 to approximately US$10.1 million for the fiscal year ended March 31, 2024. Approximately 64.2%, 39.5% and 81.5% of the total revenues for the fiscal years ended March 31, 2025, 2024, and 2023, and approximately 36.6% and 68.0% of our total revenues for the six months ended September 30, 2025 and 2024, respectively, were derived from WGI, a related party of the Company. Our net loss was approximately US$12.0 million for the fiscal year ended March 31, 2025, compared to net income of approximately US$2.5 million and US$3.1 million for the fiscal years ended March 31, 2024 and 2023, respectively. Our net loss was approximately US$8.4 million for the six months ended September 30, 2025, compared to approximately US$1.1 million for the same period in 2024. Our adjusted net loss, which excludes share-based compensation expenses and its related income tax effects, was approximately US$3.2 million for the fiscal year ended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45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834517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March 31, 2025, compared to the adjusted net income of approximately US$2.5 million and US$3.4 million for the fiscal years ended March 31, 2024 and 2023, respectively. Our adjusted net loss, which excludes share-based compensation expenses and its related income tax effects, was approximately US$2.3 million for the six months ended September 30, 2025, compared to the adjusted net loss of approximately US$1.1 million for six months ended September 30, 2024.</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following competitive strengths have contributed, and will contribute, to our growth:</w:t>
      </w:r>
    </w:p>
    <w:p>
      <w:pPr>
        <w:spacing w:after="0" w:line="117" w:lineRule="exact"/>
        <w:rPr>
          <w:sz w:val="20"/>
          <w:szCs w:val="20"/>
          <w:color w:val="auto"/>
        </w:rPr>
      </w:pPr>
    </w:p>
    <w:p>
      <w:pPr>
        <w:jc w:val="both"/>
        <w:ind w:left="1020" w:right="29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fintech service provider of integrated, accessible, expedited and cost-effective software licensing and related support services, which are adaptive to the specific demands of small and medium-sized securities brokers.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fintech services benefit securities broker customers with the integrated upstream industry supply chain and the growth potential of downstream end user markets.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lines of services along the securities brokerage industry value chain generate a diversified revenue mix and build customer loyalty.</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Visionary and Experienced Management Team.</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business model, competitive strengths and licensing qualifications provide us multiple avenues of growth. We are committed to the digital transformation of financial services in the securities brokerage industry through the following key strategies:</w:t>
      </w:r>
    </w:p>
    <w:p>
      <w:pPr>
        <w:spacing w:after="0" w:line="68" w:lineRule="exact"/>
        <w:rPr>
          <w:sz w:val="20"/>
          <w:szCs w:val="20"/>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customer base in the financial services industry through software licensing services.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existing services, develop our asset management business and expand our service offerings.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product and technology innovation and further strengthen our securities brokerage services and software licensing services.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investment, acquisition and strategic opportunities.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and retain top talents.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The Company was incorporated under the laws of the British Virgin Islands with limited liability. The Company holds equity interests in its subsidiaries in Hong Kong, Mainland China, the Cayman Islands and the British Virgin Islands. Investors are purchasing the securities of the Company, a British Virgin Islands holding company, and not in its subsidiaries. This corporate structure involves unique risks to investors. As a holding company, the Company may rely on dividends from its subsidiaries for cash requirements, including any payment of dividends to its shareholders. The subsidiaries’ ability to pay dividends to the Company may be restricted by the debt the subsidiaries incur on their own or laws and regulations applicable to them. See “</w:t>
      </w:r>
      <w:r>
        <w:rPr>
          <w:rFonts w:ascii="Times New Roman" w:cs="Times New Roman" w:eastAsia="Times New Roman" w:hAnsi="Times New Roman"/>
          <w:sz w:val="18"/>
          <w:szCs w:val="18"/>
          <w:i w:val="1"/>
          <w:iCs w:val="1"/>
          <w:color w:val="auto"/>
        </w:rPr>
        <w:t>Item 3. Key Information — 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Our Ordinary Shares— 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dividends or other distributions to our shareholders</w:t>
      </w:r>
      <w:r>
        <w:rPr>
          <w:rFonts w:ascii="Times New Roman" w:cs="Times New Roman" w:eastAsia="Times New Roman" w:hAnsi="Times New Roman"/>
          <w:sz w:val="18"/>
          <w:szCs w:val="18"/>
          <w:color w:val="auto"/>
        </w:rPr>
        <w:t>” in our 2025 Annual Report.</w:t>
      </w:r>
    </w:p>
    <w:p>
      <w:pPr>
        <w:spacing w:after="0" w:line="84"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The Company owns 100% of the issued shares of Waton Securities International Limited (“WSI”), a limited liability company incorporated in Hong Kong on April 28, 1989, 100% of the issued shares of Waton Technology International Limited (“WTI”), a limited liability company incorporated in Hong Kong on February 24, 2023, 100% of the issued shares of Waton Sponsor Limited (“WSL”), a BVI business company incorporated in the British Virgin Islands on September 7, 2023, and 100% of the issued shares of Descart Limited (“Descart”), a stock corporation incorporated in the State of Delaware on February 23, 2024.</w:t>
      </w:r>
    </w:p>
    <w:p>
      <w:pPr>
        <w:spacing w:after="0" w:line="79"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WSI owns 100% of the issued shares of Infast Asset Management Co., Limited (“IAM”), a limited liability company incorporated in Hong Kong on October 30, 2012, and 100% of the issued management shares of Waton Investment Global SPC (“WIG SPC”), an exempted segregated portfolio company incorporated in Cayman Islands on May 12, 2022.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935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59359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WTI owns 100% of the issued shares of WTF Technology, a limited liability company incorporated under the PRC laws on February 10, 2026.</w:t>
      </w:r>
    </w:p>
    <w:p>
      <w:pPr>
        <w:spacing w:after="0" w:line="54"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Waton Sponsor Limited owns 100% of the issued shares of Love &amp; Health Limited (“L&amp;H”), an exempted company incorporated in the Cayman Islands on October 3, 2023.</w:t>
      </w:r>
    </w:p>
    <w:p>
      <w:pPr>
        <w:spacing w:after="0" w:line="54"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Furthermore, WSL, IAM, Descart, WIG SPC, WTF Technology, and L&amp;H are incorporated for the purpose of expanding our service offerings and in alignment with our long-term development plan. As of the date of this prospectus, the following subsidiaries have commenced their activities: (i) WSI, through WIG SPC, has set up five segregated portfolios under WIG SPC to develop WSI’s asset management business, among which, two segregated portfolios have been launched; and (ii) WSL has engaged in the formation and sponsorship of L&amp;H, being a special purpose acquisition company (“SPAC”), as well as the proposed initial public offering of the securities of L&amp;H. As of the date of this prospectus, IAM, Descart, WTF Technology, and L&amp;H have minimal operations. WTF Technology is intended to operate as a technical support and R&amp;D center, functioning as a cost center.</w:t>
      </w:r>
    </w:p>
    <w:p>
      <w:pPr>
        <w:spacing w:after="0" w:line="84" w:lineRule="exact"/>
        <w:rPr>
          <w:sz w:val="20"/>
          <w:szCs w:val="20"/>
          <w:color w:val="auto"/>
        </w:rPr>
      </w:pPr>
    </w:p>
    <w:p>
      <w:pPr>
        <w:jc w:val="both"/>
        <w:ind w:left="320" w:right="279"/>
        <w:spacing w:after="0" w:line="252" w:lineRule="auto"/>
        <w:rPr>
          <w:sz w:val="20"/>
          <w:szCs w:val="20"/>
          <w:color w:val="auto"/>
        </w:rPr>
      </w:pPr>
      <w:r>
        <w:rPr>
          <w:rFonts w:ascii="Times New Roman" w:cs="Times New Roman" w:eastAsia="Times New Roman" w:hAnsi="Times New Roman"/>
          <w:sz w:val="18"/>
          <w:szCs w:val="18"/>
          <w:color w:val="auto"/>
        </w:rPr>
        <w:t>In order to explore business opportunities and expand the business of the Company, in February 2024, WSI, through equity method investment at the cost of RMB5,500,000 (equivalent to approximately US$770,000), acquired a 55% interest in LeFeng Hainan Private Equity Fund Management Limited (“LeFeng”), a limited liability company established in the PRC, which company is not our subsidiary, as WSI does not have the requisite voting power of two thirds or more to control such company pursuant to LeFeng’s articles of association and cannot remove the existing sole director appointed by the other shareholder holding a 45% equity interest without cause. According to LeFeng’s articles of association, which regulate the management and operation of LeFeng, the intended business scope of LeFeng includes private equity investment fund management and venture capital fund management services (subject to the completion of registration filing with the relevant PRC regulatory authorities). In view of the prolonged timeframe and uncertainty for LeFeng to complete the requisite regulatory filing and commence its intended business, on October 10, 2024, WSI and the sole director of LeFeng (the “Purchaser”) entered into a share transfer agreement, pursuant to which WSI agreed to sell and the Purchaser agreed to purchase the 55% equity interest in LeFeng for a consideration of HK$7,000,000 (equivalent to approximately US$900,000) (the “Divestment”). The Divestment was completed during the six months ended September 30, 2025. The Divestment presents an opportunity for WSI to realize its investment and focus its resources on its current business.</w:t>
      </w:r>
    </w:p>
    <w:p>
      <w:pPr>
        <w:spacing w:after="0" w:line="88"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In February 2025, WSI, through equity method investment at the cost of US$20,000, acquired a 40% interest in MW Technology Development Limited (“MW Technology”), a BVI business company, which is a joint venture established with MOG Digitech Holdings Limited (“MOG Digitech”) to collaboratively develop a trading desk for digital currency financial securities. MOG Digitech is an investment holding company whose shares are listed on the Main Board of the Hong Kong Stock Exchange (with stock code: 1942). MOG Digitech and its subsidiaries are principally engaged in digital payment solutions-related business, sales of optical products, and franchise and license management. As of the date of this prospectus, payment for the investment has not been made, and MW Technology does not have any material operations.</w:t>
      </w:r>
    </w:p>
    <w:p>
      <w:pPr>
        <w:spacing w:after="0" w:line="84"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 following chart illustrates our corporate structure, including our principal operating subsidiaries, as of the date of this prospectus, without considering the effect of this offering. The percentages shown on the following chart represent percentages of equity ownership: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9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Securities</w:t>
      </w:r>
    </w:p>
    <w:p>
      <w:pPr>
        <w:spacing w:after="0" w:line="121"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On April 1, 2025, our Ordinary Shares commenced trading on the Nasdaq Capital Market under the symbol “WTF.” On April 2, 2025, we closed our initial public offering (the “IPO”) of 4,375,000 Ordinary Shares at a public offering price of $4.00 per share. Gross proceeds of our IPO totaled approximately US$17.45 million, before deducting underwriting discounts and other offering-related expenses. Simultaneously with the closing of the IPO, the Company also issued and sold an additional 656,250 Ordinary Shares, pursuant to the full exercise of the over-allotment option granted to the underwriters in connection with the IPO, at the public offering price of US$4.00 per share. As a result, the Company raised additional gross proceeds of US$2.63 million, before deducting underwriting discounts and offering expenses.</w:t>
      </w:r>
    </w:p>
    <w:p>
      <w:pPr>
        <w:spacing w:after="0" w:line="84"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all references to the number of Ordinary Shares to be outstanding after this offering are based on 53,597,191 Ordinary Shares issued and outstanding, excluding the number of Ordinary Shares issuable upon vesting of our outstanding restricted share units as of the date of this prospectus.</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Transfers of Cash to and from Our Subsidiaries</w:t>
      </w:r>
    </w:p>
    <w:p>
      <w:pPr>
        <w:spacing w:after="0" w:line="121"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Waton Financial Limited is a holding company with no operations of its own. It conducts its operations primarily in Hong Kong through its subsidiaries. As a holding company, Waton Financial Limited may rely on dividends or payments to be paid by its subsidiaries in Hong Kong to fund its cash and financing requirements, including for the provision of funds necessary to pay dividends and other cash distributions to our shareholders and U.S. investors, and to service any debt we may incur and to pay our operating expenses. If our subsidiaries incur debt on their own behalf in the future, the instruments governing the debt may restrict its ability to pay dividends or make other distributions to us.</w:t>
      </w:r>
    </w:p>
    <w:p>
      <w:pPr>
        <w:spacing w:after="0" w:line="8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Waton Financial Limited is permitted under the laws of BVI to provide funding to its subsidiaries through loans or capital contributions without restrictions on the amount of the funds, subject to complying with applicable laws (including with respect to economic substance). Our subsidiaries are also permitted under the laws of Hong Kong to provide funding to Waton Financial Limited, through dividend distributions or payments, without restrictions on the amount of the funds.</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There are no restrictions or limitations on our ability to distribute earnings by dividends from our subsidiaries, and our shareholders and U.S. investors, provided that the entity remains solvent after such distribution. Subject to the BVI Companies Act and our memorandum and articles of association, our board of directors may authorize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07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73075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declare a dividend to shareholders at such time and of such an amount as they think fit if they are satisfied, on reasonable grounds, that immediately following the dividend payment, the value of our assets will exceed our liabilities and we will be able to pay our debts as they become due. According to the Companies Ordinance of Hong Kong, a Hong Kong company may only make a distribution out of profits available for distribution. Other than the above, we did not adopt or maintain any cash management policies and procedures as of the date of this prospectus. There is no further BVI or Hong Kong statutory restriction on the amount of funds which may be distributed by us by dividend payments.</w:t>
      </w:r>
    </w:p>
    <w:p>
      <w:pPr>
        <w:spacing w:after="0" w:line="8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Under the current practice of the Inland Revenue Department of Hong Kong, no tax is payable in Hong Kong in respect of dividends paid by us. See “</w:t>
      </w:r>
      <w:r>
        <w:rPr>
          <w:rFonts w:ascii="Times New Roman" w:cs="Times New Roman" w:eastAsia="Times New Roman" w:hAnsi="Times New Roman"/>
          <w:sz w:val="18"/>
          <w:szCs w:val="18"/>
          <w:i w:val="1"/>
          <w:iCs w:val="1"/>
          <w:color w:val="auto"/>
        </w:rPr>
        <w:t>Item 4. Information on the Company — B. Business Overview — Regulations</w:t>
      </w:r>
    </w:p>
    <w:p>
      <w:pPr>
        <w:ind w:left="320" w:right="299"/>
        <w:spacing w:after="0" w:line="260" w:lineRule="auto"/>
        <w:rPr>
          <w:sz w:val="20"/>
          <w:szCs w:val="20"/>
          <w:color w:val="auto"/>
        </w:rPr>
      </w:pPr>
      <w:r>
        <w:rPr>
          <w:rFonts w:ascii="Times New Roman" w:cs="Times New Roman" w:eastAsia="Times New Roman" w:hAnsi="Times New Roman"/>
          <w:sz w:val="18"/>
          <w:szCs w:val="18"/>
          <w:i w:val="1"/>
          <w:iCs w:val="1"/>
          <w:color w:val="auto"/>
        </w:rPr>
        <w:t>— Regulations Related to our Business Operation in Hong Kong — Regulations related to Hong Kong taxation</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2025 Annual Report.</w:t>
      </w:r>
    </w:p>
    <w:p>
      <w:pPr>
        <w:spacing w:after="0" w:line="73" w:lineRule="exact"/>
        <w:rPr>
          <w:sz w:val="20"/>
          <w:szCs w:val="20"/>
          <w:color w:val="auto"/>
        </w:rPr>
      </w:pPr>
    </w:p>
    <w:p>
      <w:pPr>
        <w:jc w:val="both"/>
        <w:ind w:left="320" w:right="279"/>
        <w:spacing w:after="0" w:line="251" w:lineRule="auto"/>
        <w:rPr>
          <w:sz w:val="20"/>
          <w:szCs w:val="20"/>
          <w:color w:val="auto"/>
        </w:rPr>
      </w:pPr>
      <w:r>
        <w:rPr>
          <w:rFonts w:ascii="Times New Roman" w:cs="Times New Roman" w:eastAsia="Times New Roman" w:hAnsi="Times New Roman"/>
          <w:sz w:val="18"/>
          <w:szCs w:val="18"/>
          <w:color w:val="auto"/>
        </w:rPr>
        <w:t>As of the date of this prospectus, there are no restrictions or limitations under the laws of Hong Kong imposed on the conversion of HK$ into foreign currencies and the remittance of currencies out of Hong Kong or across borders and to U.S. investors. China is a country with foreign exchange controls. Therefore, any foreign currency payment to Chinese enterprises, including funds paid by overseas shareholders to their wholly foreign-owned enterprises, must comply with China's foreign exchange administration regulations. As our PRC subsidiary will function as a cost center for technical support and R&amp;D activities, we believe the PRC subsidiary will not generate profits or have any dividends to expatriate out of China. Currently, the majority of our operations are in Hong Kong through our Hong Kong subsidiaries. Since Hong Kong is a special administrative region of the PRC and the basic policies of the PRC regarding Hong Kong are reflected in the Basic Law of the Hong Kong Special Administrative Region of the People’s Republic of China, or the Basic Law, providing Hong Kong with a high degree of autonomy and executive, legislative and independent judicial powers, including that of final adjudication under the principle of “one country, two systems”. The PRC laws and regulations do not currently have any material impact on transfer of cash from Waton Financial Limited to our Hong Kong subsidiaries or from our Hong Kong subsidiaries to Waton Financial Limited and the investors in the U.S. However, there is no assurance that any of the above will remain the same. If any of the above changes in the future, the ability of our subsidiaries to make payments may be restricted and our ability to finance our cash requirements, service debt or make dividend or other distributions to our shareholders may be adversely affected. Such restrictions and limitations, if imposed in the future, may delay or hinder the expansion of our business to outside of Hong Kong and may affect our ability to receive funds from our subsidiaries in Hong Kong. The promulgation of new laws or regulations, or the new interpretation of existing laws and regulations, in each case, that restrict or otherwise unfavorably impact the ability or the way we or our subsidiaries conduct business, could require us to change certain aspects of our business to ensure compliance, which could decrease demand for our services, reduce revenues, increase costs, require us to obtain more licenses, permits, approvals or certificates, or subject us to additional liabilities. To the extent any new or more stringent measures are required to be implemented, our and our subsidiaries’ business, financial condition and results of operations could be adversely affected and such measures could materially decrease the value of our securities, potentially rendering them worthless.</w:t>
      </w:r>
    </w:p>
    <w:p>
      <w:pPr>
        <w:spacing w:after="0" w:line="96"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We do not have any present plan to pay any cash dividends on our Ordinary Shares in the foreseeable future after this offering. We currently intend to retain most, if not all, of our available funds and any future earnings to support operations and to finance the growth and development of our business.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As of the date of this prospectus, we do not presently plan to pay any dividends out of our retained earnings. See “</w:t>
      </w:r>
      <w:r>
        <w:rPr>
          <w:rFonts w:ascii="Times New Roman" w:cs="Times New Roman" w:eastAsia="Times New Roman" w:hAnsi="Times New Roman"/>
          <w:sz w:val="18"/>
          <w:szCs w:val="18"/>
          <w:i w:val="1"/>
          <w:iCs w:val="1"/>
          <w:color w:val="auto"/>
        </w:rPr>
        <w:t>Item 3. Key Information — D. 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Ordinary Shares — 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 or other distributions to our shareholders</w:t>
      </w:r>
      <w:r>
        <w:rPr>
          <w:rFonts w:ascii="Times New Roman" w:cs="Times New Roman" w:eastAsia="Times New Roman" w:hAnsi="Times New Roman"/>
          <w:sz w:val="18"/>
          <w:szCs w:val="18"/>
          <w:color w:val="auto"/>
        </w:rPr>
        <w:t>” in our 2025 Annual Report.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96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80962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We had less than $1.235 billion in annual gross revenue during our last fiscal year. As a result, we qualify as an “emerging growth company” as defined in the Jumpstart Our Business Startups Act of 2012 (the “JOBS Act”) and may take advantage of reduced public reporting requirements. These provisions include, but are not limited to:</w:t>
      </w:r>
    </w:p>
    <w:p>
      <w:pPr>
        <w:spacing w:after="0" w:line="14" w:lineRule="exact"/>
        <w:rPr>
          <w:sz w:val="20"/>
          <w:szCs w:val="20"/>
          <w:color w:val="auto"/>
        </w:rPr>
      </w:pPr>
    </w:p>
    <w:p>
      <w:pPr>
        <w:ind w:left="1020" w:right="299" w:hanging="350"/>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w:t>
      </w:r>
    </w:p>
    <w:p>
      <w:pPr>
        <w:spacing w:after="0" w:line="1" w:lineRule="exact"/>
        <w:rPr>
          <w:rFonts w:ascii="Times New Roman" w:cs="Times New Roman" w:eastAsia="Times New Roman" w:hAnsi="Times New Roman"/>
          <w:sz w:val="18"/>
          <w:szCs w:val="18"/>
          <w:color w:val="auto"/>
        </w:rPr>
      </w:pPr>
    </w:p>
    <w:p>
      <w:pPr>
        <w:ind w:left="1020" w:right="299" w:hanging="350"/>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 w:lineRule="exact"/>
        <w:rPr>
          <w:rFonts w:ascii="Times New Roman" w:cs="Times New Roman" w:eastAsia="Times New Roman" w:hAnsi="Times New Roman"/>
          <w:sz w:val="18"/>
          <w:szCs w:val="18"/>
          <w:color w:val="auto"/>
        </w:rPr>
      </w:pPr>
    </w:p>
    <w:p>
      <w:pPr>
        <w:ind w:left="1020" w:right="299" w:hanging="350"/>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regarding executive compensation in periodic reports, proxy statements and registration statements; and</w:t>
      </w:r>
    </w:p>
    <w:p>
      <w:pPr>
        <w:spacing w:after="0" w:line="1"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54"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date of the first sale of the Ordinary Shares pursuant to this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21"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Even after we no longer qualify as an emerging growth company, so long as we qualify as a foreign private issuer under the Exchange Act, we will be exempt from certain provisions of the Exchange Act and the rules thereunder that are applicable to U.S. domestic public companies, including:</w:t>
      </w:r>
    </w:p>
    <w:p>
      <w:pPr>
        <w:spacing w:after="0" w:line="18" w:lineRule="exact"/>
        <w:rPr>
          <w:sz w:val="20"/>
          <w:szCs w:val="20"/>
          <w:color w:val="auto"/>
        </w:rPr>
      </w:pPr>
    </w:p>
    <w:p>
      <w:pPr>
        <w:ind w:left="1020" w:right="299" w:hanging="350"/>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that require U.S. domestic public companies to issue financial statements prepared under U.S. GAAP;</w:t>
      </w:r>
    </w:p>
    <w:p>
      <w:pPr>
        <w:spacing w:after="0" w:line="1" w:lineRule="exact"/>
        <w:rPr>
          <w:rFonts w:ascii="Times New Roman" w:cs="Times New Roman" w:eastAsia="Times New Roman" w:hAnsi="Times New Roman"/>
          <w:sz w:val="18"/>
          <w:szCs w:val="18"/>
          <w:color w:val="auto"/>
        </w:rPr>
      </w:pPr>
    </w:p>
    <w:p>
      <w:pPr>
        <w:ind w:left="1020" w:right="299" w:hanging="350"/>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of the Exchange Act that regulate the solicitation of proxies, consents or authorizations in respect of any securities registered under the Exchange Act;</w:t>
      </w:r>
    </w:p>
    <w:p>
      <w:pPr>
        <w:spacing w:after="0" w:line="1" w:lineRule="exact"/>
        <w:rPr>
          <w:rFonts w:ascii="Times New Roman" w:cs="Times New Roman" w:eastAsia="Times New Roman" w:hAnsi="Times New Roman"/>
          <w:sz w:val="18"/>
          <w:szCs w:val="18"/>
          <w:color w:val="auto"/>
        </w:rPr>
      </w:pPr>
    </w:p>
    <w:p>
      <w:pPr>
        <w:ind w:left="1020" w:right="299" w:hanging="350"/>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of the Exchange Act that impose liability on insiders who profit from trades made in a short period of time; and</w:t>
      </w:r>
    </w:p>
    <w:p>
      <w:pPr>
        <w:spacing w:after="0" w:line="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that require the filing with the SEC of quarterly reports on Form 10-Q, containing unaudited financial and other specified information, and current reports on Form 8-K, upon the occurrence of specified significant events.</w:t>
      </w:r>
    </w:p>
    <w:p>
      <w:pPr>
        <w:spacing w:after="0" w:line="68"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We are required to file with the SEC, within four months after the end of each fiscal year (or such other reports required by the SEC), an annual report on Form 20-F containing financial statements audited by an independent registered public accounting firm.</w:t>
      </w:r>
    </w:p>
    <w:p>
      <w:pPr>
        <w:spacing w:after="0" w:line="68"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75"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of the more extensive SEC executive compensation disclosure rules. Therefore, if we no longer qualify as an emerging growth company but remain a foreign private issuer, we will continue to be exempt from such rules and will continue to be permitted to follow our home country practice as to the disclosure of such matters.</w:t>
      </w:r>
    </w:p>
    <w:p>
      <w:pPr>
        <w:spacing w:after="0" w:line="72" w:lineRule="exact"/>
        <w:rPr>
          <w:sz w:val="20"/>
          <w:szCs w:val="20"/>
          <w:color w:val="auto"/>
        </w:rPr>
      </w:pPr>
    </w:p>
    <w:p>
      <w:pPr>
        <w:jc w:val="both"/>
        <w:ind w:left="320" w:right="279"/>
        <w:spacing w:after="0" w:line="289" w:lineRule="auto"/>
        <w:rPr>
          <w:sz w:val="20"/>
          <w:szCs w:val="20"/>
          <w:color w:val="auto"/>
        </w:rPr>
      </w:pPr>
      <w:r>
        <w:rPr>
          <w:rFonts w:ascii="Times New Roman" w:cs="Times New Roman" w:eastAsia="Times New Roman" w:hAnsi="Times New Roman"/>
          <w:sz w:val="17"/>
          <w:szCs w:val="17"/>
          <w:color w:val="auto"/>
        </w:rPr>
        <w:t>In addition, Our Company is considered a “foreign private issuer” under Nasdaq listing rules. Nasdaq listing rules include certain accommodations in the corporate governance requirements that allow foreign private issuers, such as our Company, to follow “home country” corporate governance practices in lieu of the otherwise applicable corporate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53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80537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governance standards of Nasdaq. The application of such exceptions requires that we disclose each Nasdaq corporate governance standard that we do not follow and describe the British Virgin Islands corporate governance practices we do follow in lieu of the relevant Nasdaq corporate governance standard. We follow British Virgin Islands corporate governance practices in lieu of the corporate governance requirements of Nasdaq in respect of the following:</w:t>
      </w:r>
    </w:p>
    <w:p>
      <w:pPr>
        <w:spacing w:after="0" w:line="75" w:lineRule="exact"/>
        <w:rPr>
          <w:sz w:val="20"/>
          <w:szCs w:val="20"/>
          <w:color w:val="auto"/>
        </w:rPr>
      </w:pPr>
    </w:p>
    <w:p>
      <w:pPr>
        <w:ind w:left="1020" w:hanging="350"/>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independent director requirement under Section 5605(b)(1) of the Nasdaq listing rules;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under Section 5605(b)(2) of the Nasdaq listing rules that the independent directors have regularly scheduled meetings with only the independent directors present; and</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under Section 5635 of the Nasdaq listing rules that shareholder approval will be required for (i) certain acquisitions of stock or assets of another company; (ii) an issuance of shares that will result in a change of control of the company; (iii) the establishment or amendment of certain equity based compensation plans and arrangements; and (iv) certain transactions (other than a public offering) involving issuances of 20% or more of our outstanding shares.</w:t>
      </w:r>
    </w:p>
    <w:p>
      <w:pPr>
        <w:spacing w:after="0" w:line="75"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British Virgin Islands law does not impose a requirement that our board of directors consist of a majority of independent directors or that such independent directors meet regularly without other members present.</w:t>
      </w:r>
    </w:p>
    <w:p>
      <w:pPr>
        <w:spacing w:after="0" w:line="54"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The Company intends to avail itself of these exemptions. Therefore, for as long as the Company remains a “foreign private issuer,” the Company will not have the same protections afforded to shareholders of companies that are subject to all of these corporate governance requirements. See “</w:t>
      </w:r>
      <w:r>
        <w:rPr>
          <w:rFonts w:ascii="Times New Roman" w:cs="Times New Roman" w:eastAsia="Times New Roman" w:hAnsi="Times New Roman"/>
          <w:sz w:val="18"/>
          <w:szCs w:val="18"/>
          <w:i w:val="1"/>
          <w:iCs w:val="1"/>
          <w:color w:val="auto"/>
        </w:rPr>
        <w:t>Item 16G. Corporate Governance</w:t>
      </w:r>
      <w:r>
        <w:rPr>
          <w:rFonts w:ascii="Times New Roman" w:cs="Times New Roman" w:eastAsia="Times New Roman" w:hAnsi="Times New Roman"/>
          <w:sz w:val="18"/>
          <w:szCs w:val="18"/>
          <w:color w:val="auto"/>
        </w:rPr>
        <w:t>” in our 2025 Annual Report.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our largest shareholder, WATON CORPORATION LIMITED, will beneficially own approximately 76.46% of the aggregate voting power of our outstanding Ordinary Shares. As a result, we will be deemed to be a “controlled company” for the purpose of the Nasdaq listing rules. Our largest shareholder has the ability to control the outcome of matters submitted to the shareholders for approval, including the election of directors, amendment of organizational documents, and approval of major corporate transactions, such as a change in control, merger, consolidation, or sale of assets. As a controlled company, we are permitted to elect to rely on certain exemptions from the obligations to comply with certain corporate governance requirements, including the requirements that:</w:t>
      </w:r>
    </w:p>
    <w:p>
      <w:pPr>
        <w:spacing w:after="0" w:line="84" w:lineRule="exact"/>
        <w:rPr>
          <w:sz w:val="20"/>
          <w:szCs w:val="20"/>
          <w:color w:val="auto"/>
        </w:rPr>
      </w:pPr>
    </w:p>
    <w:p>
      <w:pPr>
        <w:ind w:left="1020" w:hanging="350"/>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solely by independent directors; and</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nominating and corporate governance committee and a compensation committee that are composed entirely of independent directors with a written charter addressing the purposes and responsibilities of the committees.</w:t>
      </w:r>
    </w:p>
    <w:p>
      <w:pPr>
        <w:spacing w:after="0" w:line="68"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currently do not intend to rely on the corporate governance exemptions afforded to a “controlled company” under the Nasdaq listing standards. However, we may elect to rely on these exemptions in the future, and if so, you would not have the same protection afforded to shareholders of companies that are subject to all of the corporate governance requirements of Nasdaq.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Suites 3605-06, 36th Floor, Tower 6, The Gateway, Harbour City, Tsim Sha Tsui, Kowloon, Hong Kong. The telephone number at our principal executive office is 852 28531818. Our registered office is currently located at Rodus Building, P.O. Box 3093, Road Town, Tortola, British Virgin Islands.</w:t>
      </w:r>
    </w:p>
    <w:p>
      <w:pPr>
        <w:spacing w:after="0" w:line="68" w:lineRule="exact"/>
        <w:rPr>
          <w:sz w:val="20"/>
          <w:szCs w:val="20"/>
          <w:color w:val="auto"/>
        </w:rPr>
      </w:pPr>
    </w:p>
    <w:p>
      <w:pPr>
        <w:jc w:val="both"/>
        <w:ind w:left="320" w:right="279"/>
        <w:spacing w:after="0" w:line="282" w:lineRule="auto"/>
        <w:rPr>
          <w:sz w:val="20"/>
          <w:szCs w:val="20"/>
          <w:color w:val="auto"/>
        </w:rPr>
      </w:pPr>
      <w:r>
        <w:rPr>
          <w:rFonts w:ascii="Times New Roman" w:cs="Times New Roman" w:eastAsia="Times New Roman" w:hAnsi="Times New Roman"/>
          <w:sz w:val="18"/>
          <w:szCs w:val="18"/>
          <w:color w:val="auto"/>
        </w:rPr>
        <w:t>Our agent for service of process in the United States is Cogency Global Inc. located at 122 East 42nd Street, 18th Floor, New York, NY 10168.</w:t>
      </w:r>
    </w:p>
    <w:p>
      <w:pPr>
        <w:spacing w:after="0" w:line="54"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website addresses are http://www.waton.com/, https://wtf.us and https://wtf.ai. The information contained on our website is not a part of this prospectus, nor is such content incorporated by reference herein, and should not be relied upon in determining whether to make an investment in our securities.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7821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78219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Securities offered by us</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Assumed public offering price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Best-efforts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Ordinary Shares Outstanding Immediately Before This Offering</w:t>
      </w:r>
    </w:p>
    <w:p>
      <w:pPr>
        <w:spacing w:after="0" w:line="47" w:lineRule="exact"/>
        <w:rPr>
          <w:sz w:val="20"/>
          <w:szCs w:val="20"/>
          <w:color w:val="auto"/>
        </w:rPr>
      </w:pPr>
    </w:p>
    <w:p>
      <w:pPr>
        <w:ind w:left="1480" w:right="100" w:hanging="179"/>
        <w:spacing w:after="0" w:line="295" w:lineRule="auto"/>
        <w:rPr>
          <w:sz w:val="20"/>
          <w:szCs w:val="20"/>
          <w:color w:val="auto"/>
        </w:rPr>
      </w:pPr>
      <w:r>
        <w:rPr>
          <w:rFonts w:ascii="Times New Roman" w:cs="Times New Roman" w:eastAsia="Times New Roman" w:hAnsi="Times New Roman"/>
          <w:sz w:val="18"/>
          <w:szCs w:val="18"/>
          <w:b w:val="1"/>
          <w:bCs w:val="1"/>
          <w:color w:val="auto"/>
        </w:rPr>
        <w:t>Ordinary Shares Outstanding Immediately After This Offering</w:t>
      </w:r>
      <w:r>
        <w:rPr>
          <w:rFonts w:ascii="Times New Roman" w:cs="Times New Roman" w:eastAsia="Times New Roman" w:hAnsi="Times New Roman"/>
          <w:sz w:val="29"/>
          <w:szCs w:val="29"/>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5,359,719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$5.03 per share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the securities on a best-efforts basis.</w:t>
      </w:r>
    </w:p>
    <w:p>
      <w:pPr>
        <w:spacing w:after="0" w:line="117" w:lineRule="exact"/>
        <w:rPr>
          <w:sz w:val="20"/>
          <w:szCs w:val="20"/>
          <w:color w:val="auto"/>
        </w:rPr>
      </w:pPr>
    </w:p>
    <w:p>
      <w:pPr>
        <w:jc w:val="both"/>
        <w:ind w:right="1300"/>
        <w:spacing w:after="0" w:line="282" w:lineRule="auto"/>
        <w:rPr>
          <w:sz w:val="20"/>
          <w:szCs w:val="20"/>
          <w:color w:val="auto"/>
        </w:rPr>
      </w:pPr>
      <w:r>
        <w:rPr>
          <w:rFonts w:ascii="Times New Roman" w:cs="Times New Roman" w:eastAsia="Times New Roman" w:hAnsi="Times New Roman"/>
          <w:sz w:val="18"/>
          <w:szCs w:val="18"/>
          <w:color w:val="auto"/>
        </w:rPr>
        <w:t>No minimum offering amount is required as a condition to closing this offering.</w:t>
      </w:r>
    </w:p>
    <w:p>
      <w:pPr>
        <w:spacing w:after="0" w:line="54" w:lineRule="exact"/>
        <w:rPr>
          <w:sz w:val="20"/>
          <w:szCs w:val="20"/>
          <w:color w:val="auto"/>
        </w:rPr>
      </w:pPr>
    </w:p>
    <w:p>
      <w:pPr>
        <w:jc w:val="both"/>
        <w:ind w:right="1280"/>
        <w:spacing w:after="0" w:line="252" w:lineRule="auto"/>
        <w:rPr>
          <w:sz w:val="20"/>
          <w:szCs w:val="20"/>
          <w:color w:val="auto"/>
        </w:rPr>
      </w:pPr>
      <w:r>
        <w:rPr>
          <w:rFonts w:ascii="Times New Roman" w:cs="Times New Roman" w:eastAsia="Times New Roman" w:hAnsi="Times New Roman"/>
          <w:sz w:val="18"/>
          <w:szCs w:val="18"/>
          <w:color w:val="auto"/>
        </w:rPr>
        <w:t>There is currently no underwriter or placement agent engaged in connection with this offering. Our officers and directors may participate in the offering of the securities on our behalf and intend to rely on the safe harbor from broker-dealer registration set forth in Rule 3a4-1 under the Exchange Act. Such persons will not receive any commissions or other transaction-based compensation in connection with their participation in this offering. From time to time, we may engage appropriately licensed broker-dealers or other financial intermediaries in non-U.S. jurisdictions, in compliance with applicable laws and regulations, to assist in introducing the offering to potential investors located outside the United States and facilitating communications with such investors. Any such activities will be conducted in accordance with applicable securities laws.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48,237,472 Ordinary Shares</w:t>
      </w:r>
    </w:p>
    <w:p>
      <w:pPr>
        <w:spacing w:after="0" w:line="374" w:lineRule="exact"/>
        <w:rPr>
          <w:sz w:val="20"/>
          <w:szCs w:val="20"/>
          <w:color w:val="auto"/>
        </w:rPr>
      </w:pPr>
    </w:p>
    <w:p>
      <w:pPr>
        <w:jc w:val="both"/>
        <w:ind w:right="1300"/>
        <w:spacing w:after="0" w:line="282" w:lineRule="auto"/>
        <w:rPr>
          <w:sz w:val="20"/>
          <w:szCs w:val="20"/>
          <w:color w:val="auto"/>
        </w:rPr>
      </w:pPr>
      <w:r>
        <w:rPr>
          <w:rFonts w:ascii="Times New Roman" w:cs="Times New Roman" w:eastAsia="Times New Roman" w:hAnsi="Times New Roman"/>
          <w:sz w:val="18"/>
          <w:szCs w:val="18"/>
          <w:color w:val="auto"/>
        </w:rPr>
        <w:t>53,597,191 Ordinary Shares assuming the sales of all the Ordinary Shares we are offering</w:t>
      </w:r>
    </w:p>
    <w:p>
      <w:pPr>
        <w:spacing w:after="0" w:line="90" w:lineRule="exact"/>
        <w:rPr>
          <w:sz w:val="20"/>
          <w:szCs w:val="20"/>
          <w:color w:val="auto"/>
        </w:rPr>
      </w:pPr>
    </w:p>
    <w:p>
      <w:pPr>
        <w:sectPr>
          <w:pgSz w:w="11900" w:h="16838" w:orient="portrait"/>
          <w:cols w:equalWidth="0" w:num="2">
            <w:col w:w="5180" w:space="46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We  estimate  that  we  will  receive  net  proceeds  of</w:t>
            </w:r>
          </w:p>
        </w:tc>
        <w:tc>
          <w:tcPr>
            <w:tcW w:w="104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approximately  $26.60  million  from  this  offering,</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assuming the sales of all of the securities we are offering</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at an assumed price of $5.03 per share, after deducting</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the estimated offering expenses payable by us.</w:t>
            </w: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We intend to use approximately 30% of the net proceeds</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from  this  offering  for  research  and  development,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approximately  30%  for  expansion  of  the  existing</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securities brokerage and asset management businesses,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approximately 20% for sales and promotion activities,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and approximately 20% for working capital and other</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general corporate purposes. See “Use of Proceeds.”</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w:t>
            </w:r>
          </w:p>
        </w:tc>
        <w:tc>
          <w:tcPr>
            <w:tcW w:w="1040" w:type="dxa"/>
            <w:vAlign w:val="bottom"/>
          </w:tcPr>
          <w:p>
            <w:pPr>
              <w:spacing w:after="0"/>
              <w:rPr>
                <w:sz w:val="24"/>
                <w:szCs w:val="24"/>
                <w:color w:val="auto"/>
              </w:rPr>
            </w:pPr>
          </w:p>
        </w:tc>
      </w:tr>
      <w:tr>
        <w:trPr>
          <w:trHeight w:val="194"/>
        </w:trPr>
        <w:tc>
          <w:tcPr>
            <w:tcW w:w="10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000" w:type="dxa"/>
            <w:vAlign w:val="bottom"/>
            <w:gridSpan w:val="3"/>
          </w:tcPr>
          <w:p>
            <w:pPr>
              <w:ind w:left="1660"/>
              <w:spacing w:after="0" w:line="194" w:lineRule="exact"/>
              <w:rPr>
                <w:sz w:val="20"/>
                <w:szCs w:val="20"/>
                <w:color w:val="auto"/>
              </w:rPr>
            </w:pPr>
            <w:r>
              <w:rPr>
                <w:rFonts w:ascii="Times New Roman" w:cs="Times New Roman" w:eastAsia="Times New Roman" w:hAnsi="Times New Roman"/>
                <w:sz w:val="18"/>
                <w:szCs w:val="18"/>
                <w:color w:val="auto"/>
              </w:rPr>
              <w:t xml:space="preserve">See “Risk Factors” beginning on page </w:t>
            </w: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color w:val="auto"/>
              </w:rPr>
              <w:t>, and in the</w:t>
            </w:r>
          </w:p>
        </w:tc>
        <w:tc>
          <w:tcPr>
            <w:tcW w:w="104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8"/>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other documents incorporated by reference into this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prospectus.</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Our Ordinary Shares are listed on the Nasdaq Capital</w:t>
            </w:r>
          </w:p>
        </w:tc>
        <w:tc>
          <w:tcPr>
            <w:tcW w:w="104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Market under the symbol “WTF.”</w:t>
            </w:r>
          </w:p>
        </w:tc>
        <w:tc>
          <w:tcPr>
            <w:tcW w:w="1040" w:type="dxa"/>
            <w:vAlign w:val="bottom"/>
          </w:tcPr>
          <w:p>
            <w:pPr>
              <w:spacing w:after="0"/>
              <w:rPr>
                <w:sz w:val="20"/>
                <w:szCs w:val="20"/>
                <w:color w:val="auto"/>
              </w:rPr>
            </w:pPr>
          </w:p>
        </w:tc>
      </w:tr>
      <w:tr>
        <w:trPr>
          <w:trHeight w:val="364"/>
        </w:trPr>
        <w:tc>
          <w:tcPr>
            <w:tcW w:w="1080" w:type="dxa"/>
            <w:vAlign w:val="bottom"/>
          </w:tcPr>
          <w:p>
            <w:pPr>
              <w:spacing w:after="0"/>
              <w:rPr>
                <w:sz w:val="24"/>
                <w:szCs w:val="24"/>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Transfer Agent</w:t>
            </w:r>
          </w:p>
        </w:tc>
        <w:tc>
          <w:tcPr>
            <w:tcW w:w="6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Transhare Corporation</w:t>
            </w:r>
          </w:p>
        </w:tc>
        <w:tc>
          <w:tcPr>
            <w:tcW w:w="1040" w:type="dxa"/>
            <w:vAlign w:val="bottom"/>
          </w:tcPr>
          <w:p>
            <w:pPr>
              <w:spacing w:after="0"/>
              <w:rPr>
                <w:sz w:val="24"/>
                <w:szCs w:val="24"/>
                <w:color w:val="auto"/>
              </w:rPr>
            </w:pPr>
          </w:p>
        </w:tc>
      </w:tr>
      <w:tr>
        <w:trPr>
          <w:trHeight w:val="213"/>
        </w:trPr>
        <w:tc>
          <w:tcPr>
            <w:tcW w:w="1080" w:type="dxa"/>
            <w:vAlign w:val="bottom"/>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type w:val="continuous"/>
        </w:sectPr>
      </w:pPr>
    </w:p>
    <w:bookmarkStart w:id="19" w:name="page20"/>
    <w:bookmarkEnd w:id="1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255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125539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Payment and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We expect that the delivery of the Ordinary Shares for the initial closing against payment therefor will occur on or about [•], 2026.</w:t>
      </w:r>
    </w:p>
    <w:p>
      <w:pPr>
        <w:spacing w:after="0" w:line="200"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spacing w:after="0" w:line="39" w:lineRule="exact"/>
        <w:rPr>
          <w:sz w:val="20"/>
          <w:szCs w:val="20"/>
          <w:color w:val="auto"/>
        </w:rPr>
      </w:pPr>
    </w:p>
    <w:p>
      <w:pPr>
        <w:jc w:val="both"/>
        <w:ind w:left="660" w:right="299" w:hanging="350"/>
        <w:spacing w:after="0" w:line="241"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Ordinary Shares that will be outstanding immediately after this offering (assuming the sale of all the Ordinary Shares being offered in this offering) is based upon 48,237,472 Ordinary Shares issued and outstanding, excluding the number of Ordinary Shares issuable upon vesting of our outstanding restricted share units as of the date of this prospectus.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0" w:name="page21"/>
    <w:bookmarkEnd w:id="2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5695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56959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121" w:lineRule="exact"/>
        <w:rPr>
          <w:sz w:val="20"/>
          <w:szCs w:val="20"/>
          <w:color w:val="auto"/>
        </w:rPr>
      </w:pPr>
    </w:p>
    <w:p>
      <w:pPr>
        <w:jc w:val="both"/>
        <w:ind w:left="1320" w:right="1280"/>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consolidated financial data for the periods indicated. We have derived the following summary of our consolidated balance sheets data as of March 31, 2025, 2024 and 2023, and our consolidated statements of operations data for the fiscal years ended March 31, 2025, 2024 and 2023, from our audited consolidated financial statements incorporated by reference in this prospectus, and our unaudited condensed consolidated balance sheet as of September 30, 2025 and unaudited consolidated statements of operations data for the six months ended September 30, 2025 and 2024. Our historical financial data presented below is not necessarily indicative of our financial results in future periods. You should read the summary consolidated financial and other data in conjunction with the section titled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and our consolidated financial statements and related notes incorporated by reference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Our consolidated financial statements are prepared and presented in accordance with accounting principles generally accepted in the United States, or U.S. GAAP.</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Consolidated Balance Sheets Data</w:t>
            </w: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0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9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$68,976,087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$30,723,975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$32,684,427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$40,771,313</w:t>
            </w:r>
          </w:p>
        </w:tc>
        <w:tc>
          <w:tcPr>
            <w:tcW w:w="0" w:type="dxa"/>
            <w:vAlign w:val="bottom"/>
          </w:tcPr>
          <w:p>
            <w:pPr>
              <w:spacing w:after="0"/>
              <w:rPr>
                <w:sz w:val="1"/>
                <w:szCs w:val="1"/>
                <w:color w:val="auto"/>
              </w:rPr>
            </w:pP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14,347,536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7,717,087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4,948,090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19,092,552</w:t>
            </w:r>
          </w:p>
        </w:tc>
        <w:tc>
          <w:tcPr>
            <w:tcW w:w="0" w:type="dxa"/>
            <w:vAlign w:val="bottom"/>
          </w:tcPr>
          <w:p>
            <w:pPr>
              <w:spacing w:after="0"/>
              <w:rPr>
                <w:sz w:val="1"/>
                <w:szCs w:val="1"/>
                <w:color w:val="auto"/>
              </w:rPr>
            </w:pPr>
          </w:p>
        </w:tc>
      </w:tr>
      <w:tr>
        <w:trPr>
          <w:trHeight w:val="247"/>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segregated under regulatory requirements</w:t>
            </w:r>
          </w:p>
        </w:tc>
        <w:tc>
          <w:tcPr>
            <w:tcW w:w="1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15,535,468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6,183,232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5,704,096</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9,766,690</w:t>
            </w:r>
          </w:p>
        </w:tc>
        <w:tc>
          <w:tcPr>
            <w:tcW w:w="0" w:type="dxa"/>
            <w:vAlign w:val="bottom"/>
          </w:tcPr>
          <w:p>
            <w:pPr>
              <w:spacing w:after="0"/>
              <w:rPr>
                <w:sz w:val="1"/>
                <w:szCs w:val="1"/>
                <w:color w:val="auto"/>
              </w:rPr>
            </w:pP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and contract assets</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31,893,028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10,095,071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14,612,023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10,775,442</w:t>
            </w:r>
          </w:p>
        </w:tc>
        <w:tc>
          <w:tcPr>
            <w:tcW w:w="0" w:type="dxa"/>
            <w:vAlign w:val="bottom"/>
          </w:tcPr>
          <w:p>
            <w:pPr>
              <w:spacing w:after="0"/>
              <w:rPr>
                <w:sz w:val="1"/>
                <w:szCs w:val="1"/>
                <w:color w:val="auto"/>
              </w:rPr>
            </w:pPr>
          </w:p>
        </w:tc>
      </w:tr>
      <w:tr>
        <w:trPr>
          <w:trHeight w:val="247"/>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cost</w:t>
            </w:r>
          </w:p>
        </w:tc>
        <w:tc>
          <w:tcPr>
            <w:tcW w:w="1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2,878,575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2,878,575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3,472,016</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41,284,953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17,956,232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21,942,374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26,611,364</w:t>
            </w:r>
          </w:p>
        </w:tc>
        <w:tc>
          <w:tcPr>
            <w:tcW w:w="0" w:type="dxa"/>
            <w:vAlign w:val="bottom"/>
          </w:tcPr>
          <w:p>
            <w:pPr>
              <w:spacing w:after="0"/>
              <w:rPr>
                <w:sz w:val="1"/>
                <w:szCs w:val="1"/>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w:t>
            </w:r>
          </w:p>
        </w:tc>
        <w:tc>
          <w:tcPr>
            <w:tcW w:w="1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36,151,109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14,915,859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17,603,315</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20,159,101</w:t>
            </w:r>
          </w:p>
        </w:tc>
        <w:tc>
          <w:tcPr>
            <w:tcW w:w="0" w:type="dxa"/>
            <w:vAlign w:val="bottom"/>
          </w:tcPr>
          <w:p>
            <w:pPr>
              <w:spacing w:after="0"/>
              <w:rPr>
                <w:sz w:val="1"/>
                <w:szCs w:val="1"/>
                <w:color w:val="auto"/>
              </w:rPr>
            </w:pPr>
          </w:p>
        </w:tc>
      </w:tr>
      <w:tr>
        <w:trPr>
          <w:trHeight w:val="238"/>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$27,691,134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$12,767,743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$10,742,053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$14,159,949</w:t>
            </w:r>
          </w:p>
        </w:tc>
        <w:tc>
          <w:tcPr>
            <w:tcW w:w="0" w:type="dxa"/>
            <w:vAlign w:val="bottom"/>
          </w:tcPr>
          <w:p>
            <w:pPr>
              <w:spacing w:after="0"/>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Consolidated Statement of Operations</w:t>
            </w:r>
          </w:p>
        </w:tc>
        <w:tc>
          <w:tcPr>
            <w:tcW w:w="100" w:type="dxa"/>
            <w:vAlign w:val="bottom"/>
          </w:tcPr>
          <w:p>
            <w:pPr>
              <w:spacing w:after="0"/>
              <w:rPr>
                <w:sz w:val="16"/>
                <w:szCs w:val="16"/>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gridSpan w:val="2"/>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10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$ 6,102,900</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$ 2,958,263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7,447,944</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$10,055,809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5,738,774</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 income</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(8,366,642)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(1,148,255)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(11,967,505)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2,496,554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3,080,705</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 income per ordinary share</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48,209,979</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40,980,000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41,793,690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62,816,064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34,733,424</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deciding whether to invest in our securities, you should carefully consider the risk factors set forth in our 2025 Annual Report on file with the SEC, which is incorporated by reference into this prospectus, as well as the following risk factors, which augment the risk factors set forth in our 2025 Annual Report. Before making an investment decision, you should carefully consider these risks as well as other information we include or incorporate by reference in this prospectus. The risks and uncertainties not presently known to us or that we currently deem immaterial may also materially harm our operating results and financial condition and could result in a complete loss of your investment.</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Jurisdiction in which our Subsidiaries Operate</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recently established a subsidiary in Mainland China, which subjects us to additional legal, regulatory, operational and geopolitical risks.</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this date of this prospectus, we are headquartered in Hong Kong and operate primarily through our Hong Kong subsidiaries. However, we have incorporated WTF Technology, a wholly owned subsidiary in Hangzhou, Mainland China, to serve as a technical support and research and development center. WTF Technology is intended to operate as a cost center and will recruit local employees to conduct research and development and provide technical support services to our operations. WTF Technology currently does not generate any operating revenue or profits.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a result of the establishment of our PRC subsidiary, we are now subject to certain PRC laws and regulations applicable to foreign-invested enterprises in Mainland China, which include, but are not limited to, those PRC laws and regulations relating to corporate governance, taxation, foreign exchange control, employment, social insurance, and intellectual property. Compliance with these laws and regulations may increase our operating costs and administrative burden. Any failure to comply with applicable PRC laws and regulations could subject us to fines, penalties, operational restrictions or other sanctions, which could materially and adversely affect our business, results of operation, and financial condition.</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Our PRC subsidiary will recruit and employ local personnel, which subjects us to PRC labor laws and social insurance obligations. PRC employment laws impose requirements regarding labor contracts, severance, termination, social insurance contributions, and employee benefits. Any disputes with employees or failure to comply with PRC labor laws may result in arbitration, litigation, penalties, or reputational damage.</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PRC foreign exchange controls may restrict our ability to fund our PRC subsidiary or repatriate funds. Capital contributions to our PRC subsidiary and cross-border service payments may be subject to State Administration of Foreign Exchange (SAFE) registration, regulatory approvals, or procedural requirements. Any delay or inability to make capital injections or remit funds could adversely affect the operations of our PRC subsidiary.</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Intellectual property developed by our PRC subsidiary may be subject to PRC intellectual property laws. Although PRC law provides for protection of intellectual property rights, enforcement may be uncertain or inconsistent. We may face risks of misappropriation of trade secrets or disputes regarding ownership of intellectual property developed by PRC employees, which could materially and adversely affect our business, results of operation, and financial condition.</w:t>
      </w:r>
    </w:p>
    <w:p>
      <w:pPr>
        <w:spacing w:after="0" w:line="17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and our subsidiaries were to be required to comply with cybersecurity, data privacy, data protection, or any other PRC laws and regulations related thereto and we and our subsidiaries are unable to comply with such PRC laws and regulations, our financial condition, and results of operations may be materially and adversely affected.</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and our subsidiaries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the activities of our subsidiaries in Hong Kong and Mainland China and require us and our subsidiaries to incur increased costs and efforts to comply, and any breach or noncompliance may subject us and our subsidiaries to proceedings against such entity(ies), damage our and our subsidiaries’ reputation, or result in penalties and other significant legal liabilities, and thus may materially and adversely affect the business of our subsidiaries, and our financial condition and results of operations.</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PRC Data Security Law, or the Data Security Law, which was promulgated by the Standing Committee of the National People’s Congress on June 10, 2021 and took effect on September 1, 2021, requires data collection to 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conducted in a legitimate and proper manner, and stipulates that, for the purpose of data protection, data processing activities must be conducted based on data classification and a hierarchical protection system for data security. Article 2 of the Data Security Law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prospectus, (i) neither we nor any of our subsidiaries conduct any data processing activities in Mainland China, and (ii) neither we nor any of our subsidiaries have conducted any data processing activities which may endanger the national interest or the public interest of China or the rights and interest of any Chinese organization and citizens. Therefore, we believe that the Data Security Law is not applicable to us and our subsidiaries.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Article 3 of the Personal Information Protection Law applies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We cannot rule out the possibility that any PRC governmental authorities may subject us and our subsidiaries to such laws and regulations in the future. If these laws are deemed to be applicable to us and our subsidiaries, we cannot assure you that we and our subsidiaries will be able to comply with such laws in all respects, and we and our subsidiaries may be ordered to rectify and terminate any actions that are deemed to be illegal by the PRC governmental authorities and may become subject to fines and other government sanctions, which may materially and adversely affect the business of our subsidiaries, and our financial condition and results of operations.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July 7, 2022, the CAC issued the Measures for Security Assessment of Cross-border Data Transfer, which took effect on September 1, 2022. On March 22, 2024, the CAC issued the Provisions on Facilitating and Regulating Cross-Border Data Flows (the “Cross-Border Data Flows Provisions”). According to these measures, in addition to the self-risk assessment requirement for provision of any data outside Mainland China, a data processor shall apply to the competent cyberspace department for a data security assessment and clearance of outbound data transfer in any of the following events: (i) critical information infrastructure operators providing personal information or important data overseas; and (ii) data processors other than critical information infrastructure operators providing important data overseas, or cumulatively providing overseas personal information (excluding sensitive personal information) of more than one million individuals or sensitive personal information of more than 10,000 individuals since January 1 of the current year. In addition, the Cross-Border Data Flows Provisions clarify that data processors are not required to conduct a security assessment for outbound data transfer for data that has not been notified or published as “important data” by relevant departments or regions. As of the date of this prospectus, (i) neither we nor our subsidiaries have received any formal notice from any PRC cybersecurity regulator identifying us or our subsidiaries as a “critical information infrastructure operator” or suggesting that the data we process is determined to be important data that will necessitate a security assessment, and (ii) our subsidiaries have processed far less than one million users’ personal information. From January 1, 2022 and up to the date of this prospectus, our subsidiaries have made outbound transfers of no more than one million users’ personal information and no more than ten thousand users’ sensitive personal information, cumulatively.</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However, given the recent issuance of the above PRC laws and regulations related to cybersecurity and data privacy, the interpretation and implementation of these laws and regulations may be subject to revisions. We cannot assure you that we and our subsidiaries will be compliant with such new regulations in all respects, and we and our subsidiaries may be ordered to rectify and terminate any actions that are deemed illegal by the PRC governmental authorities and become subject to fines and other government sanctions, which may materially and adversely affect the business of our subsidiaries, and our financial condition and results of operations.</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to be required to obtain any permission or approval from or complete any filing procedures with the CSRC, the CAC, or other PRC governmental authorities in connection with our future offerings under the PRC laws, we may be fined or subject to other sanctions.</w:t>
      </w:r>
    </w:p>
    <w:p>
      <w:pPr>
        <w:spacing w:after="0" w:line="6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(“Trial Measures”) and five supporting guidelines, which took effect on March 31,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Mainland Chinese nationals or domiciled in Mainland China.</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supporting guidelines further interpret that even if the issuer does not meet the above recognition criteria, but submits an application for issuance and listing in the overseas market in accordance with the relevant regulations applicable to non-domestic/regional issuers, and the risk factors disclosed in accordance with regulations are mainly related to the Mainland China market, the issuer should follow the principle of “substance over form” to confirm whether the issuer has to complete the filing procedures with the CSRC. Our counsel as to PRC laws, Global Law Office, advised us that we were not subject to the filing requirements under the supporting guidelines for our initial public offering completed in April 2025. However, given the current PRC regulatory environment and the establishment and operation of our PRC subsidiary, it is uncertain whether we or our subsidiaries will be required to obtain approvals from the PRC government to offer securities to foreign investors in the future, and whether we would be able to obtain such approvals.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the regulatory actions of the Trial Measures and the supporting guidelines are continuously evolving, we cannot rule out the possibility that CSRC may promulgate new guidance or rules with respect to the implementation and interpretation of the principle of “substance over form.” Therefore, we cannot assure you that our initial public offering, any future offering of Ordinary Shares and our continued listing will not be deemed to be an “indirect overseas offering and listing by companies in Mainland China” and subject to the filing procedures in the future. If our initial public offering, any future offering and continued listing is deemed to be an “indirect overseas offering and listing by a company in Mainland China” under the Trial Measures and/or its further interpretation, we may need to complete the filing procedures for our initial public offering, our future offering and continued listing, retrospectively. If we are subject to the filing requirements, we cannot assure you that we will be able to complete such filings in a timely manner or even at all.</w:t>
      </w:r>
    </w:p>
    <w:p>
      <w:pPr>
        <w:spacing w:after="0" w:line="8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Cybersecurity Review Measures, which was jointly promulgated by the CAC and other relevant PRC governmental authorities on December 28, 2021 require that, among others, “critical information infrastructure” or network platform operators holding over one million users’ personal information to apply for a cybersecurity review before any public offering on a foreign stock exchange.</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the PRC Subsidiary maintains a small office, for registration purposes only, and has only one employee in Mainland China. Our counsel as to PRC laws, Global Law Office, has advised us that, as of the date of this prospectus, neither we nor our subsidiaries are required to apply for cybersecurity review for our public offerings on a foreign stock exchange, because (i) neither we nor our subsidiaries own or control, directly or indirectly, any major domestic assets or interests in Mainland China, our subsidiaries’ major business operations and personnel are located in Hong Kong; (ii) our data processing activities are solely carried out by our subsidiaries outside of Mainland China for the purpose of offering services in Hong Kong and other jurisdictions outside of Mainland China; (iii) a minimal proportion of our subsidiaries’ customers are in the Mainland China and neither we nor our subsidiaries control more than one millions users’ personal information as of the date of this prospectus; (iv) neither we nor our subsidiaries own any critical information infrastructure, as of the date of this prospectus, neither we nor our subsidiaries have received any notice of identifying us or our subsidiaries as critical information infrastructure from any relevant PRC governmental authorities; (v) our subsidiaries’ operations do not affect national security; and (vi) neither we nor our subsidiaries have been informed by any PRC governmental authority of any requirement for a cybersecurity review.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our counsel as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to PRC laws.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Since these statements and regulatory actions are continuously evolving, we cannot rule out the possibility that PRC governmental authorities may promulgate new guidance or rules in the interpretation and the enforcement of the above cybersecurity and overseas listing laws and regulation. If we are required to obtain approval or filings from any governmental authorities, including the CAC and/or the CSRC, in connection with the continued listing of our securities on a stock exchange outside of Hong Kong or Mainland China, it is uncertain how long it will take for us to obtain such approval or complete such filing, and, even if we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 our subsidiaries to sanctions imposed by the PRC governmental authorities, which could include fines and penalties, suspension of business, proceedings against us and our subsidiaries, and even fines on the controlling shareholder and other responsible persons, and the ability to conduct the business of our subsidiaries, our and our subsidiaries’ ability to invest into Mainland China as foreign investments or accept foreign investments, or our ability to continue to list on Nasdaq may be restricted, and the business of our subsidiaries, and our reputation, financial condition, and results of operations may be materially and adversely affected. Additionally, these risks could result in a material adverse change to the value of our Ordinary Shares, significantly limit or completely hinder our ability to continue to offer securities to investors or cause such securities to significantly decline in value or become worthless.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Subsidiaries’ Business and Industry</w:t>
      </w:r>
    </w:p>
    <w:p>
      <w:pPr>
        <w:spacing w:after="0" w:line="117"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 financial results.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WGI, which is a related party over which we have exercised significant influence, was the largest customer for the fiscal years ended March 31, 2025, 2024 and 2023. See “</w:t>
      </w:r>
      <w:r>
        <w:rPr>
          <w:rFonts w:ascii="Times New Roman" w:cs="Times New Roman" w:eastAsia="Times New Roman" w:hAnsi="Times New Roman"/>
          <w:sz w:val="18"/>
          <w:szCs w:val="18"/>
          <w:i w:val="1"/>
          <w:iCs w:val="1"/>
          <w:color w:val="auto"/>
        </w:rPr>
        <w:t>Item 7. Major Shareholders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 B. Related Party Transactions</w:t>
      </w:r>
      <w:r>
        <w:rPr>
          <w:rFonts w:ascii="Times New Roman" w:cs="Times New Roman" w:eastAsia="Times New Roman" w:hAnsi="Times New Roman"/>
          <w:sz w:val="18"/>
          <w:szCs w:val="18"/>
          <w:color w:val="auto"/>
        </w:rPr>
        <w:t>” of our 2025 Annual Report. WGI accounted for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64.2%, 39.5% and 81.5% of our total revenues for the fiscal years ended March 31, 2025, 2024, and 2023, respectively. Although WGI was a significant customer in our recent financial reporting periods, WGI is no longer our customer effective from October 2025. As a result, we no longer will generate revenue from this related party relationship with WGI, and our historical dependence on WGI presents transitional and operational risks as we shift our customer base.</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Since August 2025, a New Zealand incorporated customer controlled by a less than 5% minority shareholder of the Company has emerged as a new customer that we anticipate may contribute substantial revenue, however, we can provide no assurance as of the date of this prospectus that such entity will do so at the same level as WGI historically has or will contribute in a manner that will offset the loss of WGI sufficient to impact future financial results.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heavy reliance on a single customer has left our subsidiaries’ business vulnerably exposed. The transition from WGI to other key customer(s) has resulted in changes to our commercial relationships, including requiring the renegotiation or termination of agreements, which could lead to potential delays in payment cycles, and may give rise to uncertainties around pricing or other business terms upon which our subsidiaries transact with third parties. Any adverse changes to our relationship with any of our new key customer(s), or any residual effects from our prior relationship with WGI could materially and adversely affect our financial results.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Even if our subsidiaries expect to obtain and retain new key customer(s), if the relationship with new key customer(s) deteriorates for any reason, or there is any adverse change in the demand of new key customer(s) for our subsidiaries’ services, or if our subsidiaries lose any new key customer(s), our subsidiaries’ business and our results of operations and financial conditions could be materially and adversely affected. Our historical reliance on WGI also means that our subsidiaries have had limited experience in attracting and maintaining non-related party customers and in operating without reliance upon a major related party customer, and there is no assurance that our subsidiaries will be able to successfully transition from their dependence on WGI over time to a more diversified, non–related party customer base or achieve sustained financial independence from the prior relationship with WGI.</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WSI and WTI are dependent on a single supplier, Shenzhen Jinhui Technology Co., Ltd., an information technology company, for providing software licensing (including subscription based) and related support services.</w:t>
      </w:r>
    </w:p>
    <w:p>
      <w:pPr>
        <w:spacing w:after="0" w:line="2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Shenzhen Jinhui Technology Co. Ltd. (“Shenzhen Jinhui”) was a related party controlled by Mr. Zhou Kai, our Chairman of the Board, Director, Chief Technology Officer and shareholder who owns more than 5% of the number of issued and outstanding Ordinary Shares of our Company. Shenzhen Jinhui is no longer a related party as of the date of this prospectus. WSI and WTI have outsourced the trading platform APP development and related support services in its software licensing (including subscription based) and related support services to Shenzhen Jinhui. As such, WSI and WTI are dependent on Shenzhen Jinhui for providing such services to software licensing (including subscription based) and related support services customers. The dependence on Shenzhen Jinhui exposes WSI and WTI to risks, including reduced control over costs and constraints based on the availability, terms, and pricing of these services. While we consider the chance of WSI and WTI being denied access to such services provided by Shenzhen Jinhui to be remote, if WSI and WTI were denied access to such services for some reasons, or if WSI and WTI were to experience any material disruptions to the sourcing of such services from Shenzhen Jinhui, WSI and WTI may not be able to switch to an alternative supplier at all or on substantially similar terms. As a result, our results of operations and financial condition could be materially and adversely affected.</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Shenzhen Jinhui is a significant service provider to WSI and WTI, any deterioration to our relationship with Shenzhen Jinhui or any adverse changes to the business terms with Shenzhen Jinhui could result in significant costs and potential service interruptions, if no suitable service provider to advance the trading platform APP development and furnish related support services in software licensing (including subscription based) and related support services can be located.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are selling the Ordinary Shares in this offering without an underwriter and may be unable to sell any shares.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offering is self-underwritten. We are selling the Ordinary Shares in this offering without an underwriter and may be unable to sell any of such shares. We intend to sell the Ordinary Shares through our officers. Our officers will offer the Ordinary Shares to their friends, relatives, acquaintances, and business associates; however, there is no guarantee that they will be able to sell any of the Ordinary Shares.</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Ordinary Shares has been and is likely to continue to be highly volatile, and purchasers of our Ordinary Shares could incur substantial losses.</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share price has been and will likely continue to be volatile for the foreseeable future. The stock market in general and the market for companies similarly situated like us in particular have experienced extreme volatility that has often been unrelated to the operating performance of particular companies. As a result of this volatility, investors may not be able to sell their Ordinary Shares at or above the price they paid.</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Ordinary Shares could adversely affect their market price.</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Sales of substantial amounts of our Ordinary Shares in the public market after the completion of this offering, or the perception that these sales could occur, could adversely affect the market price of our Ordinary Shares and materially impair our ability to raise capital through equity offerings in the future. The Ordinary Shares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our Ordinary Shares.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Shares Eligible for Future Sale</w:t>
      </w:r>
      <w:r>
        <w:rPr>
          <w:rFonts w:ascii="Times New Roman" w:cs="Times New Roman" w:eastAsia="Times New Roman" w:hAnsi="Times New Roman"/>
          <w:sz w:val="18"/>
          <w:szCs w:val="18"/>
          <w:color w:val="auto"/>
        </w:rPr>
        <w:t>” for a more detailed description of the restrictions on selling our securities after this offering.</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per share of the Ordinary Shares you purchase.</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Because the assumed public offering price per Ordinary Share being offered is substantially higher than the net tangible book value per share of our Ordinary Shares, you will suffer immediate and substantial dilution in the net tangible book value of the Ordinary Shares you purchase in the offering. Assuming a public offering price of $5.03 per share, you will experience an immediate dilution of approximately $4.02 per Ordinary Share, with respect to the net tangible book value of our Ordinary Shares as of September 30, 2025. See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use the proceeds of this offering in ways with which you may not agree.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our Ordinary Shares, nor that these net proceeds will be placed only in investments that generate income or appreciate in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expectations and forecasts or views of future events, all of which are subject to risks and uncertainties.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prospectus.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w:t>
      </w:r>
    </w:p>
    <w:p>
      <w:pPr>
        <w:spacing w:after="0" w:line="84"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and operating results, including revenues, income, expenditures, cash balances and other financial items;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and expansion strategies, including our ability to meet our goals;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economic and political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services;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customer base;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requirements and our ability to raise any additional financing which we may require;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secure the right to use other intellectual property that we deem to be essential or desirable to the conduct of our business through our subsidiaries;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management personnel and key employees in order to develop the business of our subsidiaries;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industry and market performance;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assumptions described in this prospectus underlying or relating to any forward-looking statements.</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describe material risks, uncertainties and assumptions that could affect the business of our subsidiaries, and our financial condition and results of operations,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base our forward-looking statements on our management’s beliefs and assumptions based on information available to our management at the time the statements are made. We caution you that actual outcomes and results may, and are likely to, differ materially from what is expressed, implied or forecast by our forward-looking statements. Accordingly, you should be careful about relying on any forward-looking statements. Except as required by applicable law, we undertake no duty to update any of these forward-looking statements after the date of this prospectus, whether as a result of new information, future events, changes in assumptions, or otherwise.</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Industry Data and Forecasts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prospectus may contain certain data and information that we obtained from various government and private publications. Statistical data in these publications also include projections based on a number of assumptions. The global business-to-business financial technology in the securities brokerage market and related industries may not grow at the rate projected by market data, or at all. Failure of our industries to grow at the projected rate may have a material and adverse effect on the business of our subsidiaries and the market price of our Ordinary Shares. In addition, the new and rapidly changing nature of the securities brokerage services and financial technology services industries results in significant uncertainties for any projections or estimates relating to the growth prospects or future condition of our industries.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incorporated under the laws of the British Virgin Islands (“BVI”) as a BVI business company with limited liability. We are incorporated in the BVI because of certain benefits associated with being a BVI company, such as political and economic stability, an effective judicial system, a favorable tax system, the absence of exchange control or currency restrictions and the availability of professional and support services. However, the BVI has a less developed body of securities laws as compared to the United States and provides protections for investors to a significantly lesser extent. In addition, BVI companies may not have standing to sue before the federal courts of the United States.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Substantially all of our assets are located outside the United States. In addition, a majority of our directors and officers are residents of Hong Kong or Mainland China and a majority of their assets are located outside the United States. As a result, it may be difficult for shareholders to effect service of process within the United States upon us or these persons, or to enforce against us or them judgments obtained in U.S. courts, including judgments predicated upon the civil liability provisions of the securities laws of the United States or any state in the United States.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to receive service of process with respect to any action brought against us in the United States District Court for the Southern District of New York under the federal securities laws of the United States or of any State of the United States or any action brought against us in the Supreme Court of the State of New York in the County of New York under the securities laws of the State of New York.</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Enforceability</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Carey Olsen Singapore LLP, our legal counsel as to the laws of the BVI, has advised us that there is uncertainty as to whether the courts of the BVI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BVI against us or our directors or officers predicated upon the securities laws of the United States or any state in the United States.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been advised by Carey Olsen Singapore LLP that the United States and the BVI do not have a treaty providing for reciprocal recognition and enforcement of judgments of courts of the United States in civil and commercial matters and that a final judgment for the payment of money rendered by any general or state court in the United States based on civil liability, whether or not predicated solely upon the U.S. federal securities laws, would not be automatically enforceable in the BVI. We have also been advised by Carey Olsen Singapore LLP that a final and conclusive judgment obtained in U.S. federal or state courts under which a sum of money is payable as compensatory damages (i.e., not being a sum claimed by a revenue authority for taxes or other charges of a similar nature by a governmental authority, or in respect of a fine or penalty or multiple or punitive damages) may be the subject of an action on a debt in the court of the BVI under the common law doctrine of obligation.</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been advised by Han Kun Law Offices LLP, our Hong Kong legal advisers, that there is uncertainty as to whether the judgment of United States courts will be directly enforced in Hong Kong, as the United States and Hong Kong do not have a treaty or other arrangements providing for reciprocal recognition and enforcement of judgments of courts of the United States in civil and commercial matters. However, a foreign judgment may be enforced in Hong Kong at common law by bringing an action in a Hong Kong court since the judgment may be regarded as creating a debt between the parties to it, provided that the foreign judgment, among other things, is a final judgment conclusive upon the merits of the claim and is for a liquidated amount in a civil matter and not in respect of taxes, fines, penalties, or similar charges. Such a judgment may not, in any event, be so enforced in Hong Kong if (a) it was obtained by fraud; (b) the proceedings in which the judgment was obtained were opposed to natural justice;</w:t>
      </w:r>
    </w:p>
    <w:p>
      <w:pPr>
        <w:spacing w:after="0" w:line="6" w:lineRule="exact"/>
        <w:rPr>
          <w:sz w:val="20"/>
          <w:szCs w:val="20"/>
          <w:color w:val="auto"/>
        </w:rPr>
      </w:pPr>
    </w:p>
    <w:p>
      <w:pPr>
        <w:ind w:left="300" w:right="299" w:hanging="8"/>
        <w:spacing w:after="0" w:line="260" w:lineRule="auto"/>
        <w:tabs>
          <w:tab w:leader="none" w:pos="5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enforcement or recognition would be contrary to the public policy of Hong Kong; (d) the court of the United States was not jurisdictionally competent; or (e) the judgment was in conflict with a prior Hong Kong judgment.</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Mainland China</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been advised by Global Law Office, our PRC legal advisers, that there is uncertainty as to whether the courts of the PRC, would: (1) recognize or enforce judgments of United States courts obtained against the Company or its directors or officers predicated upon the civil liability provisions of the securities laws of the United States or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state in the United States; or (2) entertain original actions brought in each respective jurisdiction against the Company or its directors or officers predicated upon the securities laws of the United States or any state in the United States. The recognition and enforcement of foreign judgments are provided for under PRC Civil Procedures Law. PRC courts may recognize and enforce foreign judgments in accordance with the requirements of the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the Company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Laws against the Company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Ordinary Shares.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Based upon an assumed offering price of $5.03 per share, we estimate that we will receive net proceeds from this offering of approximately $26.60 million, assuming the sales of all of the securities we are offering and after deducting the estimated offering expenses payable by us. However, because this is a best-efforts offering and there is no minimum offering amount required as a condition to the closing of this offering, the actual offering amount and net proceeds to us are not presently determinable and may be substantially less than the maximum amounts set forth on the cover page of this prospectus. Based on the assumed offering price set forth above, we estimate that our net proceeds from the sale of 75%, 50% or 25% of the securities offered in this offering would be approximately $19.86 million, $13.12 million, or $6.38 million, respectively, after deducting the estimated offering expenses payable by us.</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plan to use the net proceeds of this offering as follows: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for research and development activities to improve the functionalities of our online trading platform and other applications to be provided by the Company, under the Company’s global AI strategy; for further information on our global AI strategy, please see “Item 4. Information on the Company—B. Business Overview” in our 2025 Annual Report;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for expansion of the existing securities brokerage and asset management businesses;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for sales and promotion activities, such as digital marketing campaigns, to promote the Company’s global AI strategy;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for working capital and other general corporate purposes.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$1.00 increase (decrease) in the assumed public offering price of $5.03 per share, would increase (decrease) the net proceeds to us from this offering by approximately $5.36 million, assuming the number of shares offered, as set forth on the cover page of this prospectus, remains the same and after deducting the estimated offering expenses and assuming the completion of the maximum offering.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Based on an assumed offering price of $5.03 per share, an increase of 100,000 in the number of Ordinary Shares we are offering, would increase the net proceeds to us from this offering, after deducting the estimated offering expenses payable by us, by approximately $0.50 million. A decrease of 100,000 in the number of Ordinary Shares we are offering, would decrease the net proceeds to us from this offering, after deducting the estimated offering expenses payable by us, by approximately $0.50 million.</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To the extent that the net proceeds we receive from this offering are not immediately used for the above purposes, we intend to invest our net proceeds in short-term, interest-bearing bank deposits, debt instruments or our margin loan business.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Because there is no minimum offering amount required as a condition to closing this offering, we may sell fewer than all or any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BVI Companies Act and our memorandum and articles of association, our board of directors may authorize and declare a dividend to shareholders at such time and of such an amount as they think fit if they are satisfied, on reasonable grounds, that immediately following the dividend the value of our assets will exceed our liabilities and we will be able to pay our debts as they become due. There is no further British Virgin Islands statutory restriction on the amount of funds which may be distributed by us by dividend.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We do not have any present plan to pay any cash dividends on our Ordinary Shares in the foreseeable future after this offering. We currently intend to retain most, if not all, of our available funds and any future earnings to support operations and to finance the growth and development of our subsidiaries’ business.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a holding company incorporated in the British Virgin Islands. We may rely on dividends from our subsidiaries in Hong Kong and the Cayman Islands for our cash requirements, including any payment of dividends to our shareholders. According to the Companies Ordinance of Hong Kong, a Hong Kong company may only make a distribution out of profits available for distribution. Under the current practice of the Inland Revenue Department of Hong Kong, no tax is payable in Hong Kong in respect of dividends paid by us. See “</w:t>
      </w:r>
      <w:r>
        <w:rPr>
          <w:rFonts w:ascii="Times New Roman" w:cs="Times New Roman" w:eastAsia="Times New Roman" w:hAnsi="Times New Roman"/>
          <w:sz w:val="18"/>
          <w:szCs w:val="18"/>
          <w:i w:val="1"/>
          <w:iCs w:val="1"/>
          <w:color w:val="auto"/>
        </w:rPr>
        <w:t>Item 10.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 E. Taxation — Hong Kong Enterprise Taxation</w:t>
      </w:r>
      <w:r>
        <w:rPr>
          <w:rFonts w:ascii="Times New Roman" w:cs="Times New Roman" w:eastAsia="Times New Roman" w:hAnsi="Times New Roman"/>
          <w:sz w:val="18"/>
          <w:szCs w:val="18"/>
          <w:color w:val="auto"/>
        </w:rPr>
        <w:t>” in our 2025 Annual Report. Under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dividends may be paid only out of profits or share premium. See “</w:t>
      </w:r>
      <w:r>
        <w:rPr>
          <w:rFonts w:ascii="Times New Roman" w:cs="Times New Roman" w:eastAsia="Times New Roman" w:hAnsi="Times New Roman"/>
          <w:sz w:val="18"/>
          <w:szCs w:val="18"/>
          <w:i w:val="1"/>
          <w:iCs w:val="1"/>
          <w:color w:val="auto"/>
        </w:rPr>
        <w:t>Item 10. Additional Information —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 Cayman Islands Taxation</w:t>
      </w:r>
      <w:r>
        <w:rPr>
          <w:rFonts w:ascii="Times New Roman" w:cs="Times New Roman" w:eastAsia="Times New Roman" w:hAnsi="Times New Roman"/>
          <w:sz w:val="18"/>
          <w:szCs w:val="18"/>
          <w:color w:val="auto"/>
        </w:rPr>
        <w:t>” in our 2025 Annual Report. Any dividends to be paid by us are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taxation in the British Virgin Islands under current laws and regulations. See “</w:t>
      </w:r>
      <w:r>
        <w:rPr>
          <w:rFonts w:ascii="Times New Roman" w:cs="Times New Roman" w:eastAsia="Times New Roman" w:hAnsi="Times New Roman"/>
          <w:sz w:val="18"/>
          <w:szCs w:val="18"/>
          <w:i w:val="1"/>
          <w:iCs w:val="1"/>
          <w:color w:val="auto"/>
        </w:rPr>
        <w:t>Item 10. Additional Information —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 British Virgin Islands Taxation</w:t>
      </w:r>
      <w:r>
        <w:rPr>
          <w:rFonts w:ascii="Times New Roman" w:cs="Times New Roman" w:eastAsia="Times New Roman" w:hAnsi="Times New Roman"/>
          <w:sz w:val="18"/>
          <w:szCs w:val="18"/>
          <w:color w:val="auto"/>
        </w:rPr>
        <w:t>” in our 2025 Annual Report. Cash dividends on our Ordinary Shares,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will be paid in U.S. dollars.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2025:</w:t>
      </w:r>
    </w:p>
    <w:p>
      <w:pPr>
        <w:spacing w:after="0" w:line="117"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the issuance and sale of 5,359,719 Ordinary Shares offered hereby, based on an assumed offering price of $5.03 per share, assuming the sale of all of the Ordinary Shares we are offering, and the application of the net proceeds after deducting the estimated offering expenses payable by us.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You should read this capitalization table in conjunction with “Management’s Discussion and Analysis of Financial Condition and Results of Operations” and the consolidated financial statements and the related notes appearing elsewhere in this prospectus.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20" w:type="dxa"/>
            <w:vAlign w:val="bottom"/>
          </w:tcPr>
          <w:p>
            <w:pPr>
              <w:spacing w:after="0"/>
              <w:rPr>
                <w:sz w:val="13"/>
                <w:szCs w:val="13"/>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as adjusted</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unlimited shares authorized; no par value;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48,237,472 shares and 43,206,222 shares issued and outstanding as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2025 and March 31, 2025, respectively</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​45,097,848</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spacing w:after="0" w:line="290" w:lineRule="exact"/>
              <w:rPr>
                <w:sz w:val="20"/>
                <w:szCs w:val="20"/>
                <w:color w:val="auto"/>
              </w:rPr>
            </w:pPr>
            <w:r>
              <w:rPr>
                <w:rFonts w:ascii="Times New Roman" w:cs="Times New Roman" w:eastAsia="Times New Roman" w:hAnsi="Times New Roman"/>
                <w:sz w:val="18"/>
                <w:szCs w:val="18"/>
                <w:color w:val="auto"/>
                <w:w w:val="99"/>
              </w:rPr>
              <w:t>$ ​71,699,235</w:t>
            </w:r>
            <w:r>
              <w:rPr>
                <w:rFonts w:ascii="Times New Roman" w:cs="Times New Roman" w:eastAsia="Times New Roman" w:hAnsi="Times New Roman"/>
                <w:sz w:val="29"/>
                <w:szCs w:val="29"/>
                <w:color w:val="auto"/>
                <w:w w:val="99"/>
                <w:vertAlign w:val="superscript"/>
              </w:rPr>
              <w:t>(1)</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8"/>
              </w:rPr>
              <w:t>$(17,473,787)</w:t>
            </w:r>
          </w:p>
        </w:tc>
        <w:tc>
          <w:tcPr>
            <w:tcW w:w="16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$(17,473,787)</w:t>
            </w:r>
          </w:p>
        </w:tc>
        <w:tc>
          <w:tcPr>
            <w:tcW w:w="0" w:type="dxa"/>
            <w:vAlign w:val="bottom"/>
          </w:tcPr>
          <w:p>
            <w:pPr>
              <w:spacing w:after="0"/>
              <w:rPr>
                <w:sz w:val="1"/>
                <w:szCs w:val="1"/>
                <w:color w:val="auto"/>
              </w:rPr>
            </w:pPr>
          </w:p>
        </w:tc>
      </w:tr>
      <w:tr>
        <w:trPr>
          <w:trHeight w:val="24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67,073​</w:t>
            </w:r>
          </w:p>
        </w:tc>
        <w:tc>
          <w:tcPr>
            <w:tcW w:w="6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67,073</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Pr>
          <w:p>
            <w:pPr>
              <w:spacing w:after="0"/>
              <w:rPr>
                <w:sz w:val="21"/>
                <w:szCs w:val="21"/>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 ​27,691,134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 ​54,292,521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​27,691,134</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​54,292,521</w:t>
            </w: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as-adjusted information discussed above is illustrative only. Our additional paid-in capital, total shareholders’ equity, and total capitalization following the completion of this offering are subject to adjustment based on the actual public offering price and other terms of this offering determined at pricing.</w:t>
      </w:r>
    </w:p>
    <w:p>
      <w:pPr>
        <w:spacing w:after="0" w:line="73"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Because there is no minimum offering amount required as a condition to closing this offering, we may sell fewer than all or none of the securities offered hereby.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public offering price of $5.03 per share, would increase (decrease) each of additional paid-in capital, total shareholders’ equity, and total capitalization by approximately $5.36 million, assuming the number of Ordinary Shares offered by us, as set forth on the cover page of this prospectus, remains the same and after deducting the estimated expenses payable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you invest in the securities being offered in this offering, your ownership interest will be diluted to the extent of the difference between the public offering price per share of our Ordinary Shares and our pro forma as-adjusted net tangible book value per Ordinary Share immediately after this offering. Dilution results from the fact that the public offering price per Ordinary Share is substantially in excess of the pro forma as-adjusted net tangible book value per Ordinary Share attributable to the existing shareholders for our presently outstanding Ordinary Shares.</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net tangible book value as of September 30, 2025, was $0.57 per Ordinary Share. Net tangible book value represents the amount of our total consolidated tangible assets, less the amount of our total consolidated liabilities.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After giving effect to the issuance and sale of 5,359,719 Ordinary Shares offered in this offering at an assumed public offering price of $5.03 per share, after deducting the estimated offering expenses payable by us and assuming the sale of all of the Ordinary Shares we are offering, our pro forma as-adjusted net tangible book value as of September 30, 2025 would have been approximately $54,292,521, or $1.01 per outstanding Ordinary Share. This represents an immediate increase in pro forma net tangible book value of $0.44 per ordinary share to the existing shareholders, and an immediate dilution in pro forma net tangible book value of $4.02 per Ordinary Share to investors purchasing Ordinary Shares in this offering.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illustrates such dilution:</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58"/>
        </w:trPr>
        <w:tc>
          <w:tcPr>
            <w:tcW w:w="744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Post-</w:t>
            </w:r>
          </w:p>
        </w:tc>
      </w:tr>
      <w:tr>
        <w:trPr>
          <w:trHeight w:val="244"/>
        </w:trPr>
        <w:tc>
          <w:tcPr>
            <w:tcW w:w="7440" w:type="dxa"/>
            <w:vAlign w:val="bottom"/>
          </w:tcPr>
          <w:p>
            <w:pPr>
              <w:spacing w:after="0"/>
              <w:rPr>
                <w:sz w:val="21"/>
                <w:szCs w:val="21"/>
                <w:color w:val="auto"/>
              </w:rPr>
            </w:pPr>
          </w:p>
        </w:tc>
        <w:tc>
          <w:tcPr>
            <w:tcW w:w="9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5"/>
              </w:rPr>
              <w:t>Offering</w:t>
            </w:r>
            <w:r>
              <w:rPr>
                <w:rFonts w:ascii="Times New Roman" w:cs="Times New Roman" w:eastAsia="Times New Roman" w:hAnsi="Times New Roman"/>
                <w:sz w:val="23"/>
                <w:szCs w:val="23"/>
                <w:b w:val="1"/>
                <w:bCs w:val="1"/>
                <w:color w:val="auto"/>
                <w:w w:val="95"/>
                <w:vertAlign w:val="superscript"/>
              </w:rPr>
              <w:t>(1)</w:t>
            </w: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$5.03</w:t>
            </w:r>
          </w:p>
        </w:tc>
      </w:tr>
      <w:tr>
        <w:trPr>
          <w:trHeight w:val="23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2025</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$0.57</w:t>
            </w:r>
          </w:p>
        </w:tc>
      </w:tr>
      <w:tr>
        <w:trPr>
          <w:trHeight w:val="247"/>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this offering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$0.44</w:t>
            </w:r>
          </w:p>
        </w:tc>
      </w:tr>
      <w:tr>
        <w:trPr>
          <w:trHeight w:val="23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 forma as-adjusted net tangible book value per share immediately after this offering</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r>
      <w:tr>
        <w:trPr>
          <w:trHeight w:val="54"/>
        </w:trPr>
        <w:tc>
          <w:tcPr>
            <w:tcW w:w="74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net proceeds of approximately $26.60 million from this offering of 5,359,719 Ordinary Shares at an assumed public offering price of $5.03 per share, calculated as follows: approximately $26.96 million gross offering proceeds, less the estimated offering expenses of approximately $0.36 million.</w:t>
      </w:r>
    </w:p>
    <w:p>
      <w:pPr>
        <w:spacing w:after="0" w:line="73"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number of our Ordinary Shares to be outstanding after this offering is based on 48,237,472 Ordinary Shares outstanding, excluding the number of Ordinary Shares issuable upon vesting of our outstanding restricted share units, as of the date of this prospectus.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$1.00 increase in the assumed public offering price of $5.03 per share, would increase our pro forma as-adjusted net tangible book value as of September 30, 2025 after this offering, assuming the sale of all of the Ordinary Shares we are offering, by approximately $0.10 per Ordinary Share, and would increase dilution to new investors by approximately $0.90 per Ordinary Share, assuming that the number of Ordinary Shares offered by us, as set forth on the cover page of this prospectus, remains the same, and after deducting the estimated offering expenses payable by us.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$1.00 decrease in the assumed public offering price of $5.03 per share, would decrease our pro forma as-adjusted net tangible book value as of September 30, 2025 after this offering, assuming the sale of all of the Ordinary Shares we are offering, by approximately $0.10 per Ordinary Share, and would decrease dilution to new investors by approximately $0.90 per Ordinary Share, assuming that the number of Ordinary Shares offered by us, as set forth on the cover page of this prospectus, remains the same, and after deducting the estimated offering expenses payable by us.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pro forma as-adjusted information as discussed above is illustrative only. Our pro forma net tangible book value following the completion of this offering is subject to adjustment based on the actual public offering price of our Ordinary Shares and other terms of this offering determined at the pricing.</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Because there is no minimum offering amount required as a condition to closing this offering, we may sell fewer than all or any of the securities offered 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was incorporated under the laws of the British Virgin Islands with limited liability on June 25, 2010 under the original name of “IAM Group Inc.”, which name was changed to “Waton Financial Limited” on July 5, 2023. The Company holds equity interests in its subsidiaries in Hong Kong, Mainland China, the Cayman Islands and the British Virgin Islands. Investors are purchasing the securities of the Company, a British Virgin Islands holding company, and not in its subsidiaries. This corporate structure involves unique risks to investors. As a holding company, the Company may rely on dividends from its subsidiaries for cash requirements, including any payment of dividends to its shareholders. The subsidiaries’ ability to pay dividends to the Company may be restricted by the debt the subsidiaries incur on their own behalf or the laws and regulations applicable to them. See “</w:t>
      </w:r>
      <w:r>
        <w:rPr>
          <w:rFonts w:ascii="Times New Roman" w:cs="Times New Roman" w:eastAsia="Times New Roman" w:hAnsi="Times New Roman"/>
          <w:sz w:val="18"/>
          <w:szCs w:val="18"/>
          <w:i w:val="1"/>
          <w:iCs w:val="1"/>
          <w:color w:val="auto"/>
        </w:rPr>
        <w:t>Item 3. Key Information — D. Risk Factors — Risks Related to Our Ordinary Shares — We rely on dividends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distributions on equity paid by our subsidiaries to fund any cash and financing requirements we may have, and any limitation on the ability of our subsidiaries to make payments may restrict our ability to finance our cash requirements, service debt or make dividend or other distributions to our shareholders</w:t>
      </w:r>
      <w:r>
        <w:rPr>
          <w:rFonts w:ascii="Times New Roman" w:cs="Times New Roman" w:eastAsia="Times New Roman" w:hAnsi="Times New Roman"/>
          <w:sz w:val="18"/>
          <w:szCs w:val="18"/>
          <w:color w:val="auto"/>
        </w:rPr>
        <w:t>” in our 2025 Annual Report.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owns 100% of the issued shares of Waton Securities International Limited (“WSI”), a limited liability company incorporated in Hong Kong on April 28, 1989, 100% of the issued shares of Waton Technology International Limited (“WTI”), a limited liability company incorporated in Hong Kong on February 24, 2023, 100% of the issued shares of Waton Sponsor Limited (“WSL”), a BVI business company incorporated in the British Virgin Islands on September 7, 2023 and 100% of the issued shares of Descart Limited (“Descart”), a stock corporation incorporated in the State of Delaware on February 23, 2024.</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Waton Securities International Limited owns 100% of the issued shares of Infast Asset Management Co., Limited (“IAM”), a limited liability company incorporated in Hong Kong on October 30, 2012, and 100% of the issued management shares of Waton Investment Global SPC (“WIG SPC”), an exempted segregated portfolio company incorporated in Cayman Islands on May 12, 2022.</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Waton Technology International Limited owns 100% of the issued shares of WTF Technology (Hangzhou) Co. Ltd.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(“WTF Technology”), a limited liability company incorporated under the PRC laws on February 10, 2026.</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Waton Sponsor Limited owns 100% of the issued shares of Love &amp; Health Limited (“L&amp;H”), an exempted company incorporated in Cayman Islands on October 3, 2023.</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fiscal year ended March 31, 2023, we operated through our wholly owned subsidiary, WSI, to provide securities brokerage services and software licensing and related support services. Since September 2023, WTI has provided software licensing and related support services, in order to focus on the expertise of operations and service areas. In the fiscal year ended March 31, 2024, we operated through our wholly owned subsidiaries, WSI, to provide securities brokerage services and software licensing and related support services, and WTI, to provide software licensing and related support services. Furthermore, WSL, IAM, Descart, WIG SPC, WTF Technology, and L&amp;H are incorporated for the purpose of expanding our service offerings in alignment with our long-term development plan. As of the date of this prospectus, the following subsidiaries have commenced their activities: (i) WSI, through WIG SPC, has set up five segregated portfolios under WIG SPC to develop WSI’s asset management business, among which, two segregated portfolios have been launched; and (ii) WSL has engaged in the formation and sponsorship of L&amp;H, being a SPAC, as well as the proposed initial public offering of the securities of L&amp;H. As of the date of this prospectus, IAM, Descart, WTF Technology, and L&amp;H have minimal operations. WTF Technology is intended to operate as a technical support and R&amp;D center, functioning as a cost center.</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order to explore business opportunities and expand the business of the Company, in February 2024, WSI, through equity method investment at the cost of RMB5,500,000 (equivalent to approximately US$770,000), acquired a 55% interest in LeFeng Hainan Private Equity Fund Management Limited (“LeFeng”), a limited liability company established in the PRC, which company is not our subsidiary. In view of the prolonged timeframe and uncertainty for LeFeng to complete the requisite regulatory filings and commence its intended business, on October 10, 2024, WSI and the sole director of LeFeng (the “Purchaser”) entered into a share transfer agreement, pursuant to which WSI agreed to sell and the Purchaser agreed to purchase the 55% equity interest in LeFeng for a consideration of HK$7,000,000 (equivalent to approximately US$900,000), (the “Divestment”). The Divestment was completed during the six months ended September 30, 2025. The Divestment presents an opportunity for WSI to realize its investment and focus its resources on its current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In February 2025, WSI, through equity method investment at the cost of US$20,000, acquired a 40% interest in MW Technology Development Limited, a BVI business company, which is a joint venture established with MOG Digitech Holdings Limited (“MOG Digitech”) to collaboratively develop a trading desk for digital currency financial securities. MOG Digitech is an investment holding company whose shares are listed on the Main Board of the Hong Kong Stock Exchange (with stock code: 1942). MOG Digitech and its subsidiaries are principally engaged in digital payment solutions-related business, sales of optical products, and franchise and license management. As of the date of this prospectus, payment for the investment has not been made, and MW Technology does not have any material operations.</w:t>
      </w:r>
    </w:p>
    <w:p>
      <w:pPr>
        <w:spacing w:after="0" w:line="84"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our corporate structure, including our principal operating subsidiaries, as of the date of this prospectus, without considering the effect of this offering. The percentages shown on the following chart represent percentages of equity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157480</wp:posOffset>
            </wp:positionV>
            <wp:extent cx="5031740" cy="31457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3174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200" w:type="dxa"/>
            <w:vAlign w:val="bottom"/>
          </w:tcPr>
          <w:p>
            <w:pPr>
              <w:spacing w:after="0"/>
              <w:rPr>
                <w:sz w:val="16"/>
                <w:szCs w:val="16"/>
                <w:color w:val="auto"/>
              </w:rPr>
            </w:pPr>
          </w:p>
        </w:tc>
        <w:tc>
          <w:tcPr>
            <w:tcW w:w="17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Waton Financial</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BVI company</w:t>
            </w: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Incorporated on June 25,</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2010</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5"/>
        </w:trPr>
        <w:tc>
          <w:tcPr>
            <w:tcW w:w="130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Waton Securities</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Hong Kong company</w:t>
            </w:r>
          </w:p>
        </w:tc>
        <w:tc>
          <w:tcPr>
            <w:tcW w:w="20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Waton</w:t>
            </w:r>
          </w:p>
        </w:tc>
        <w:tc>
          <w:tcPr>
            <w:tcW w:w="2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securities</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Limited</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Incorporated on April 28,</w:t>
            </w: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Financial Limited</w:t>
            </w: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brokerage services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1989</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licensing and</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related support services</w:t>
            </w:r>
          </w:p>
        </w:tc>
        <w:tc>
          <w:tcPr>
            <w:tcW w:w="1300" w:type="dxa"/>
            <w:vAlign w:val="bottom"/>
          </w:tcPr>
          <w:p>
            <w:pPr>
              <w:spacing w:after="0"/>
              <w:rPr>
                <w:sz w:val="20"/>
                <w:szCs w:val="20"/>
                <w:color w:val="auto"/>
              </w:rPr>
            </w:pPr>
          </w:p>
        </w:tc>
      </w:tr>
      <w:tr>
        <w:trPr>
          <w:trHeight w:val="225"/>
        </w:trPr>
        <w:tc>
          <w:tcPr>
            <w:tcW w:w="130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Waton Technology</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Hong Kong company</w:t>
            </w:r>
          </w:p>
        </w:tc>
        <w:tc>
          <w:tcPr>
            <w:tcW w:w="20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Waton</w:t>
            </w:r>
          </w:p>
        </w:tc>
        <w:tc>
          <w:tcPr>
            <w:tcW w:w="2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software</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Limited</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Incorporated on February 24,</w:t>
            </w: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Financial Limited</w:t>
            </w: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related</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support services</w:t>
            </w:r>
          </w:p>
        </w:tc>
        <w:tc>
          <w:tcPr>
            <w:tcW w:w="1300" w:type="dxa"/>
            <w:vAlign w:val="bottom"/>
          </w:tcPr>
          <w:p>
            <w:pPr>
              <w:spacing w:after="0"/>
              <w:rPr>
                <w:sz w:val="20"/>
                <w:szCs w:val="20"/>
                <w:color w:val="auto"/>
              </w:rPr>
            </w:pPr>
          </w:p>
        </w:tc>
      </w:tr>
      <w:tr>
        <w:trPr>
          <w:trHeight w:val="225"/>
        </w:trPr>
        <w:tc>
          <w:tcPr>
            <w:tcW w:w="130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w w:val="98"/>
              </w:rPr>
              <w:t>Waton Sponsor Limited</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BVI company</w:t>
            </w:r>
          </w:p>
        </w:tc>
        <w:tc>
          <w:tcPr>
            <w:tcW w:w="20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Waton</w:t>
            </w:r>
          </w:p>
        </w:tc>
        <w:tc>
          <w:tcPr>
            <w:tcW w:w="2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Sponsor of a special</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Incorporated on</w:t>
            </w: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Financial Limited</w:t>
            </w: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purpose acquisition</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September 7, 2023</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300" w:type="dxa"/>
            <w:vAlign w:val="bottom"/>
          </w:tcPr>
          <w:p>
            <w:pPr>
              <w:spacing w:after="0"/>
              <w:rPr>
                <w:sz w:val="20"/>
                <w:szCs w:val="20"/>
                <w:color w:val="auto"/>
              </w:rPr>
            </w:pPr>
          </w:p>
        </w:tc>
      </w:tr>
      <w:tr>
        <w:trPr>
          <w:trHeight w:val="225"/>
        </w:trPr>
        <w:tc>
          <w:tcPr>
            <w:tcW w:w="130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Descart Limited</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Delaware stock</w:t>
            </w:r>
          </w:p>
        </w:tc>
        <w:tc>
          <w:tcPr>
            <w:tcW w:w="20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Waton</w:t>
            </w:r>
          </w:p>
        </w:tc>
        <w:tc>
          <w:tcPr>
            <w:tcW w:w="2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General holding</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Financial Limited</w:t>
            </w: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Incorporated on February 23,</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9"/>
              </w:rPr>
              <w:t>26</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36" w:name="page37"/>
    <w:bookmarkEnd w:id="3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80" w:type="dxa"/>
            <w:vAlign w:val="bottom"/>
            <w:gridSpan w:val="3"/>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402"/>
        </w:trPr>
        <w:tc>
          <w:tcPr>
            <w:tcW w:w="2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200" w:type="dxa"/>
            <w:vAlign w:val="bottom"/>
          </w:tcPr>
          <w:p>
            <w:pPr>
              <w:spacing w:after="0"/>
              <w:rPr>
                <w:sz w:val="24"/>
                <w:szCs w:val="24"/>
                <w:color w:val="auto"/>
              </w:rPr>
            </w:pPr>
          </w:p>
        </w:tc>
        <w:tc>
          <w:tcPr>
            <w:tcW w:w="17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24"/>
                <w:szCs w:val="24"/>
                <w:color w:val="auto"/>
              </w:rPr>
            </w:pPr>
          </w:p>
        </w:tc>
        <w:tc>
          <w:tcPr>
            <w:tcW w:w="19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r>
      <w:tr>
        <w:trPr>
          <w:trHeight w:val="23"/>
        </w:trPr>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8"/>
        </w:trPr>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Love &amp; Health Limited   • 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Cayman Islands exempted</w:t>
            </w:r>
          </w:p>
        </w:tc>
        <w:tc>
          <w:tcPr>
            <w:tcW w:w="2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WSL</w:t>
            </w: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Blank cheque special</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company</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Incorporated on October 3,</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Completion of the IPO</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April 2, 2025, the Company closed its initial public offering (“IPO”) of 4,375,000 Ordinary Shares and the sale of an additional 656,250 Ordinary Shares (the “Over-allotment”), pursuant to the full exercise of the over-allotment option granted to the underwriters in connection with the IPO. The offering price was $4.00 per share. The aggregate gross proceeds of the IPO and over-allotment were $20,125,000 before deducting underwriting discounts and offering expenses. The Ordinary Shares of the Company were approved for listing on the Nasdaq Capital Market and commenced trading under the ticker symbol “WTF” on April 1, 2025.</w:t>
      </w:r>
    </w:p>
    <w:p>
      <w:pPr>
        <w:spacing w:after="0" w:line="77"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For further information on our corporate history and structure, please read “</w:t>
      </w:r>
      <w:r>
        <w:rPr>
          <w:rFonts w:ascii="Times New Roman" w:cs="Times New Roman" w:eastAsia="Times New Roman" w:hAnsi="Times New Roman"/>
          <w:sz w:val="18"/>
          <w:szCs w:val="18"/>
          <w:i w:val="1"/>
          <w:iCs w:val="1"/>
          <w:color w:val="auto"/>
        </w:rPr>
        <w:t>Item 4. Information on The Company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History and Development of the Company</w:t>
      </w:r>
      <w:r>
        <w:rPr>
          <w:rFonts w:ascii="Times New Roman" w:cs="Times New Roman" w:eastAsia="Times New Roman" w:hAnsi="Times New Roman"/>
          <w:sz w:val="18"/>
          <w:szCs w:val="18"/>
          <w:color w:val="auto"/>
        </w:rPr>
        <w:t>” in our 2025 Annual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For our management’s discussion and analysis of financial condition and results of operations for the six months ended September 30, 2025, and the years ended March 31, 2025, 2024 and 2023, please read “</w:t>
      </w:r>
      <w:r>
        <w:rPr>
          <w:rFonts w:ascii="Times New Roman" w:cs="Times New Roman" w:eastAsia="Times New Roman" w:hAnsi="Times New Roman"/>
          <w:sz w:val="18"/>
          <w:szCs w:val="18"/>
          <w:i w:val="1"/>
          <w:iCs w:val="1"/>
          <w:color w:val="auto"/>
        </w:rPr>
        <w:t>Item 5. 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Review and Prospects</w:t>
      </w:r>
      <w:r>
        <w:rPr>
          <w:rFonts w:ascii="Times New Roman" w:cs="Times New Roman" w:eastAsia="Times New Roman" w:hAnsi="Times New Roman"/>
          <w:sz w:val="18"/>
          <w:szCs w:val="18"/>
          <w:color w:val="auto"/>
        </w:rPr>
        <w:t>” in our 2025 Annual Report and Report on Form 6-K filed on January 29,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incorporated by reference into this prospectus.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For a description of our business, please read “</w:t>
      </w:r>
      <w:r>
        <w:rPr>
          <w:rFonts w:ascii="Times New Roman" w:cs="Times New Roman" w:eastAsia="Times New Roman" w:hAnsi="Times New Roman"/>
          <w:sz w:val="18"/>
          <w:szCs w:val="18"/>
          <w:i w:val="1"/>
          <w:iCs w:val="1"/>
          <w:color w:val="auto"/>
        </w:rPr>
        <w:t>Item 4. Information on the Company — B. Business Overview</w:t>
      </w:r>
      <w:r>
        <w:rPr>
          <w:rFonts w:ascii="Times New Roman" w:cs="Times New Roman" w:eastAsia="Times New Roman" w:hAnsi="Times New Roman"/>
          <w:sz w:val="18"/>
          <w:szCs w:val="18"/>
          <w:color w:val="auto"/>
        </w:rPr>
        <w:t>” in our 2025 Annual Report, which is incorporated by reference into this prospectus. Except as otherwise set forth in this prospectus, there have been no material changes or developments to our business since the filing of our 2025 Annual Report.</w:t>
      </w:r>
    </w:p>
    <w:p>
      <w:pPr>
        <w:spacing w:after="0" w:line="74"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Since the filing of our 2025 Annual Report, WSI launched Z Navigation Option Hedge Fund S.P., a segregated portfolio of WIG SPC. WSI has been appointed as the investment manager of Z Navigation Option Hedge Fund S.P., which entity is responsible for managing the investments in Z Navigation Option Hedge Fund S.P. pursuant to its investment objectives and in accordance with its investment strategies and restrictions. Details of Z Navigation Option Hedge Fund S.P., and the engagement of WSI as investment manager of Z Navigation Option Hedge Fund S.P. are set out below. In addition, WSI and WGI have been appointed as custodians to Z Navigation Option Hedge Fund S.P.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Name of segregated portfolio:</w:t>
            </w: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 Navigation Option Hedge Fund S.P.</w:t>
            </w:r>
          </w:p>
        </w:tc>
      </w:tr>
      <w:tr>
        <w:trPr>
          <w:trHeight w:val="414"/>
        </w:trPr>
        <w:tc>
          <w:tcPr>
            <w:tcW w:w="4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Investment manager:</w:t>
            </w: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WSI. Viberation Asset Management Limited was appointed a co-</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manager of Z Navigation Option Hedge Fund S.P. in</w:t>
            </w:r>
          </w:p>
        </w:tc>
      </w:tr>
      <w:tr>
        <w:trPr>
          <w:trHeight w:val="234"/>
        </w:trPr>
        <w:tc>
          <w:tcPr>
            <w:tcW w:w="4780" w:type="dxa"/>
            <w:vAlign w:val="bottom"/>
          </w:tcPr>
          <w:p>
            <w:pPr>
              <w:spacing w:after="0"/>
              <w:rPr>
                <w:sz w:val="20"/>
                <w:szCs w:val="20"/>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2025.</w:t>
            </w:r>
          </w:p>
        </w:tc>
      </w:tr>
      <w:tr>
        <w:trPr>
          <w:trHeight w:val="414"/>
        </w:trPr>
        <w:tc>
          <w:tcPr>
            <w:tcW w:w="4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Investment objective and investment strategy:</w:t>
            </w: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achieve moderate growth and to generate long term growth</w:t>
            </w:r>
          </w:p>
        </w:tc>
      </w:tr>
      <w:tr>
        <w:trPr>
          <w:trHeight w:val="234"/>
        </w:trPr>
        <w:tc>
          <w:tcPr>
            <w:tcW w:w="4780" w:type="dxa"/>
            <w:vAlign w:val="bottom"/>
          </w:tcPr>
          <w:p>
            <w:pPr>
              <w:spacing w:after="0"/>
              <w:rPr>
                <w:sz w:val="20"/>
                <w:szCs w:val="20"/>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relatively steady experience.</w:t>
            </w:r>
          </w:p>
        </w:tc>
      </w:tr>
      <w:tr>
        <w:trPr>
          <w:trHeight w:val="414"/>
        </w:trPr>
        <w:tc>
          <w:tcPr>
            <w:tcW w:w="4780" w:type="dxa"/>
            <w:vAlign w:val="bottom"/>
          </w:tcPr>
          <w:p>
            <w:pPr>
              <w:spacing w:after="0"/>
              <w:rPr>
                <w:sz w:val="24"/>
                <w:szCs w:val="24"/>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 Navigation Option Hedge Fund S.P. intends to invest most of</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portfolio’s assets mainly in option arbitrage, option volatility</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based upon OTC option market-marker. The main</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scope include the following: China A-share stocks, A-</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OTC stocks options, Hong Kong stocks, Hong Kong OTC</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American stocks, American OTC stock options,</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Chinese domestic future market instruments, Chinese ETF,</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Chinese option market instruments; Hong Kong future market</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 Hong Kong ETF, Hong Kong option market</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 American future market instruments, American ETF,</w:t>
            </w:r>
          </w:p>
        </w:tc>
      </w:tr>
      <w:tr>
        <w:trPr>
          <w:trHeight w:val="234"/>
        </w:trPr>
        <w:tc>
          <w:tcPr>
            <w:tcW w:w="4780" w:type="dxa"/>
            <w:vAlign w:val="bottom"/>
          </w:tcPr>
          <w:p>
            <w:pPr>
              <w:spacing w:after="0"/>
              <w:rPr>
                <w:sz w:val="20"/>
                <w:szCs w:val="20"/>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American option market instruments.</w:t>
            </w:r>
          </w:p>
        </w:tc>
      </w:tr>
      <w:tr>
        <w:trPr>
          <w:trHeight w:val="414"/>
        </w:trPr>
        <w:tc>
          <w:tcPr>
            <w:tcW w:w="4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Target investors:</w:t>
            </w: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Investors who are professional investors (within the meaning of</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HKSFO, including professional investors as defined by the</w:t>
            </w:r>
          </w:p>
        </w:tc>
      </w:tr>
      <w:tr>
        <w:trPr>
          <w:trHeight w:val="234"/>
        </w:trPr>
        <w:tc>
          <w:tcPr>
            <w:tcW w:w="4780" w:type="dxa"/>
            <w:vAlign w:val="bottom"/>
          </w:tcPr>
          <w:p>
            <w:pPr>
              <w:spacing w:after="0"/>
              <w:rPr>
                <w:sz w:val="20"/>
                <w:szCs w:val="20"/>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and Futures (Professional Investor) Rules)</w:t>
            </w:r>
          </w:p>
        </w:tc>
      </w:tr>
      <w:tr>
        <w:trPr>
          <w:trHeight w:val="414"/>
        </w:trPr>
        <w:tc>
          <w:tcPr>
            <w:tcW w:w="4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Capital contributions:</w:t>
            </w: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the date of this prospectus, the total subscriptions received</w:t>
            </w:r>
          </w:p>
        </w:tc>
      </w:tr>
      <w:tr>
        <w:trPr>
          <w:trHeight w:val="216"/>
        </w:trPr>
        <w:tc>
          <w:tcPr>
            <w:tcW w:w="478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Z Navigation Option Hedge Fund S.P. amounted to US$4</w:t>
            </w:r>
          </w:p>
        </w:tc>
      </w:tr>
      <w:tr>
        <w:trPr>
          <w:trHeight w:val="234"/>
        </w:trPr>
        <w:tc>
          <w:tcPr>
            <w:tcW w:w="4780" w:type="dxa"/>
            <w:vAlign w:val="bottom"/>
          </w:tcPr>
          <w:p>
            <w:pPr>
              <w:spacing w:after="0"/>
              <w:rPr>
                <w:sz w:val="20"/>
                <w:szCs w:val="20"/>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w:t>
            </w:r>
          </w:p>
        </w:tc>
      </w:tr>
      <w:tr>
        <w:trPr>
          <w:trHeight w:val="414"/>
        </w:trPr>
        <w:tc>
          <w:tcPr>
            <w:tcW w:w="4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Investors:</w:t>
            </w: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the date of this prospectus, Z Navigation Option Hedge</w:t>
            </w:r>
          </w:p>
        </w:tc>
      </w:tr>
      <w:tr>
        <w:trPr>
          <w:trHeight w:val="234"/>
        </w:trPr>
        <w:tc>
          <w:tcPr>
            <w:tcW w:w="4780" w:type="dxa"/>
            <w:vAlign w:val="bottom"/>
          </w:tcPr>
          <w:p>
            <w:pPr>
              <w:spacing w:after="0"/>
              <w:rPr>
                <w:sz w:val="20"/>
                <w:szCs w:val="20"/>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 S.P. has 3 investors.</w:t>
            </w:r>
          </w:p>
        </w:tc>
      </w:tr>
      <w:tr>
        <w:trPr>
          <w:trHeight w:val="414"/>
        </w:trPr>
        <w:tc>
          <w:tcPr>
            <w:tcW w:w="47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Fees payable to WSI as investment manager:</w:t>
            </w: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Management fee: 1.5% per annum of the net asset value of</w:t>
            </w:r>
          </w:p>
        </w:tc>
      </w:tr>
      <w:tr>
        <w:trPr>
          <w:trHeight w:val="216"/>
        </w:trPr>
        <w:tc>
          <w:tcPr>
            <w:tcW w:w="478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V shares (common class) and Class VI shares (junior</w:t>
            </w:r>
          </w:p>
        </w:tc>
      </w:tr>
      <w:tr>
        <w:trPr>
          <w:trHeight w:val="216"/>
        </w:trPr>
        <w:tc>
          <w:tcPr>
            <w:tcW w:w="478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of Z Navigation Option Hedge Fund S.P. No</w:t>
            </w:r>
          </w:p>
        </w:tc>
      </w:tr>
      <w:tr>
        <w:trPr>
          <w:trHeight w:val="216"/>
        </w:trPr>
        <w:tc>
          <w:tcPr>
            <w:tcW w:w="478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management fee in respect of Class IV shares (senior class)</w:t>
            </w:r>
          </w:p>
        </w:tc>
      </w:tr>
      <w:tr>
        <w:trPr>
          <w:trHeight w:val="234"/>
        </w:trPr>
        <w:tc>
          <w:tcPr>
            <w:tcW w:w="4780" w:type="dxa"/>
            <w:vAlign w:val="bottom"/>
          </w:tcPr>
          <w:p>
            <w:pPr>
              <w:spacing w:after="0"/>
              <w:rPr>
                <w:sz w:val="20"/>
                <w:szCs w:val="20"/>
                <w:color w:val="auto"/>
              </w:rPr>
            </w:pPr>
          </w:p>
        </w:tc>
        <w:tc>
          <w:tcPr>
            <w:tcW w:w="6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will be charged;</w:t>
            </w:r>
          </w:p>
        </w:tc>
      </w:tr>
      <w:tr>
        <w:trPr>
          <w:trHeight w:val="486"/>
        </w:trPr>
        <w:tc>
          <w:tcPr>
            <w:tcW w:w="4780" w:type="dxa"/>
            <w:vAlign w:val="bottom"/>
          </w:tcPr>
          <w:p>
            <w:pPr>
              <w:spacing w:after="0"/>
              <w:rPr>
                <w:sz w:val="24"/>
                <w:szCs w:val="24"/>
                <w:color w:val="auto"/>
              </w:rPr>
            </w:pPr>
          </w:p>
        </w:tc>
        <w:tc>
          <w:tcPr>
            <w:tcW w:w="6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28</w:t>
            </w:r>
          </w:p>
        </w:tc>
      </w:tr>
      <w:tr>
        <w:trPr>
          <w:trHeight w:val="196"/>
        </w:trPr>
        <w:tc>
          <w:tcPr>
            <w:tcW w:w="4780" w:type="dxa"/>
            <w:vAlign w:val="bottom"/>
            <w:tcBorders>
              <w:bottom w:val="single" w:sz="8" w:color="auto"/>
            </w:tcBorders>
          </w:tcPr>
          <w:p>
            <w:pPr>
              <w:spacing w:after="0"/>
              <w:rPr>
                <w:sz w:val="17"/>
                <w:szCs w:val="17"/>
                <w:color w:val="auto"/>
              </w:rPr>
            </w:pPr>
          </w:p>
        </w:tc>
        <w:tc>
          <w:tcPr>
            <w:tcW w:w="62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Fees payable to WSI as custodian: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Performance fee: equal to the relevant percentage of the</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realized and unrealized appreciation in the net asset value in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respect of each series of Class V shares and Class VI shares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a calculation period above the current peak net asset</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value per the relevant series of the relevant class of shares.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WSI is entitled to waive the performance fee at its discretion.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 performance fee in respect of Class IV shares (senior</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class) will be charged; and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Subscription fee: 0.5% of the subscription amount of portfolio</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shares of Z Navigation Option Hedge Fund S.P. subscribed.</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directors of WIG SPC may waive the subscription fee at</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their discretion.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Nil. Custodian fees will not exceed commercial rates.</w:t>
      </w:r>
    </w:p>
    <w:p>
      <w:pPr>
        <w:spacing w:after="0" w:line="200" w:lineRule="exact"/>
        <w:rPr>
          <w:sz w:val="20"/>
          <w:szCs w:val="20"/>
          <w:color w:val="auto"/>
        </w:rPr>
      </w:pPr>
    </w:p>
    <w:p>
      <w:pPr>
        <w:sectPr>
          <w:pgSz w:w="11900" w:h="16838" w:orient="portrait"/>
          <w:cols w:equalWidth="0" w:num="2">
            <w:col w:w="3240" w:space="720"/>
            <w:col w:w="5059"/>
          </w:cols>
          <w:pgMar w:left="1440" w:top="263" w:right="1440" w:bottom="1440" w:gutter="0" w:footer="0" w:header="0"/>
          <w:type w:val="continuous"/>
        </w:sectPr>
      </w:pP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WGI was a significant customer in our recent financial reporting periods, however, effective October 2025, WGI is no longer our customer. See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Related to Our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Industry — We have 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 financial results</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PRC Subsidiary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WTF Technology is a limited liability company 100% owned by WTI and incorporated under the PRC laws on February 10, 2026. WTF Technology is intended to operate as a technical support and R&amp;D center, functioning as a cost center. See “</w:t>
      </w:r>
      <w:r>
        <w:rPr>
          <w:rFonts w:ascii="Times New Roman" w:cs="Times New Roman" w:eastAsia="Times New Roman" w:hAnsi="Times New Roman"/>
          <w:sz w:val="18"/>
          <w:szCs w:val="18"/>
          <w:i w:val="1"/>
          <w:iCs w:val="1"/>
          <w:color w:val="auto"/>
        </w:rPr>
        <w:t>Risk Factors — Risks Related to Doing Business in the Jurisdiction in which our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Operate — We have recently established a subsidiary in Mainland China, which subjects us to additional legal, regulatory, operational and geopolitical risks</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For major regulations that impact our business, please read “</w:t>
      </w:r>
      <w:r>
        <w:rPr>
          <w:rFonts w:ascii="Times New Roman" w:cs="Times New Roman" w:eastAsia="Times New Roman" w:hAnsi="Times New Roman"/>
          <w:sz w:val="18"/>
          <w:szCs w:val="18"/>
          <w:i w:val="1"/>
          <w:iCs w:val="1"/>
          <w:color w:val="auto"/>
        </w:rPr>
        <w:t>Item 4. Information on the Company — B.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Overview — Regulations</w:t>
      </w:r>
      <w:r>
        <w:rPr>
          <w:rFonts w:ascii="Times New Roman" w:cs="Times New Roman" w:eastAsia="Times New Roman" w:hAnsi="Times New Roman"/>
          <w:sz w:val="18"/>
          <w:szCs w:val="18"/>
          <w:color w:val="auto"/>
        </w:rPr>
        <w:t>” in our 2025 Annual Report, which is incorporated by reference into this prospectus.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no material changes to major regulations that impact our business since the filing of our 2025 Annual Report, except as otherwise set forth in this prospectus.</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Regulations Related to our Business Operation in the PRC</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operate part of our business in the PRC under a legal regime mainly consisting of the National People’s Congress, which is the country’s highest legislative body, the State Council, which is the highest authority of the executive branch of the PRC central government, and several ministries and agencies under its authority, including among others, the SAFE, the MOFCOM, the National Development and Reform Commission (“NDRC”), the State Administration for Market Regulation (“SAMR”) and their respective authorized local branches.</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the PRC.</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Relating to Foreign Investment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limited liability companies incorporated and operating in the PRC are governed by the Company Law of the People’s Republic of China, or the Company Law, which was promulgated by the SCNPC, most recently amended in 2023 and took into effect on July 1, 2024. Foreign invested companies must also comply with the Company Law, with exceptions as specified in other laws and regulations relating to foreign investment.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Foreign Investment Law of the People’s Republic of China (the “Foreign Investment Law”) was adopted by the second meeting of the 13th National People’s Congress on March 15, 2019, which became effective on January 1, 2020. On December 26, 2019, the State Council promulgated Regulation for Implementing the Foreign Investment Law of the People’s Republic of China, which became effective on January 1, 2020.</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Foreign Investment Law and its implementing rules apply the administrative system of pre-establishment national treatment plus negative list to foreign investment and clarify the state shall develop a catalogue of industries for encouraging foreign investment to specify the industries, fields, and regions where foreign investors are encouraged and directed to invest.</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With respect to the establishment and operation of foreign-invested enterprises, or FIEs, the MOFCOM and NDRC, promulgated the Special Administrative Measures for the Access of Foreign Investment (Negative List) (2024Version) (the “Negative List”) on September 6, 2024, which became effective on November 11, 2024. The Negative List sets out the special administrative measures for access of foreign investment such as the requirements in relation to shareholding and senior management. Fields that were not included in the Negative List shall be regulated according to the principle of equal treatment of domestic and foreign investments. The Negative List is subject to review and update by the PRC government from time to time. None of our businesses are in the Negative List. Therefore, the PRC subsidiary is not subject to restrictions imposed by the foreign investment laws and regulations of the PRC. Regulations on Offshore Parent Holding Companies’ Direct Investment in and Loans to Their PRC Subsidiary</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Offshore Parent Holding Companies’ Direct Investment in and Loans to Their PRC Subsidiary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 offshore company may invest equity in a PRC company. Such equity investment is subject to a series of laws and regulations generally applicable to any foreign-invested enterprise in China,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registered capital and total investment amount shall both be registered with SAMR and SAFE. Shareholder loans made by offshore parent holding companies to their PRC Entities are regarded as foreign debts in China for regulatory purpose, which is subject to a number of PRC laws and regulations, including among others,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Entities shall be registered with SAFE.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Pursuant to the Foreign Exchange Administration Regulations, as amended in August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the PRC, unless SAFE’s prior approval is obtained and prior registration with SAFE is made. In May 2013, SAFE promulgated the Circular of the SAFE on Printing and Distributing the Administrative Provision on Foreign Exchange in Domestic Direct Investment by Foreign Investors and Relevant Supporting Documents (the “SAFE Circular 21”) which provides for and simplifies the operational steps and regulations on foreign exchange matters related to direct investment by foreign investors, including foreign exchange registration, account opening and use, receipt and payment of funds, and settlement and sales of foreign exchange. The relevant regulations under SAFE Circular 21 were further amended and simplified by the Circular of the State Administration of Foreign Exchange on Matters Concerning Deepening the Reform of Foreign Exchange Administration for Cross Border Investment and Financing announced by SAFE (effective on September 12, 2025).</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Pursuant to the Circular on Relevant Issues concerning Foreign Exchange Administration of Overseas Investment and Financing and Return Investments Conducted by Domestic Residents through Overseas Special Purpose Vehicles, or the SAFE Circular 37, promulgated by SAFE and which became effective on July 4, 2014, (a) a PRC resident shall register with the local SAFE branch before he or she contributes assets or equity interests in an overseas special purpose vehicle, or Overseas SPV, that is directly established or controlled by the PRC resident for the purpose of conducting investment or financing; and (b) following the initial registration, the PRC resident is also required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register with the local SAFE branch for any major change, in respect of the Overseas SPV, including, among other things, a change of the Overseas SPV’s PRC resident shareholder(s), the name of the Overseas SPV, term of operation, or any increase or reduction of the Overseas SPV’s registered capital, share transfer or swap, and merger or division. Pursuant to SAFE Circular 37, failure to comply with these registration procedures may result in penalties.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Pursuant to the Circular of the State Administration of Foreign Exchange on Further Simplifying and Improving the Direct Investment-related Foreign Exchange Administration Policies (the “SAFE Notice 13”), which was promulgated on February 13, 2015 and with effect from June 1, 2015, the foreign exchange registration under domestic direct investment and the foreign exchange registration under overseas direct investment is directly reviewed and handled by banks in accordance with the SAFE Notice 13, and the SAFE and its branches shall perform indirect regulation over the foreign exchange registration via banks.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Employment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Labor Law of the People’s Republic of China (the “Labor Law”), which became effective in January 1995 and was amended in 2018, and the Labor Contract Law of the People’s Republic of China (the “Labor Contract Law”), effective in January 2008 and amended in 2012, require employers to provide written contracts to their employees, restrict the use of temporary workers and aim to give employees long-term job security. Employers must pay their employees’ wages equal to or above local minimum wage standards, establish labor safety and workplace sanitation systems, comply with state labor rules and standards and provide employees with appropriate training on workplace safety. In September 2008, the State Council promulgated the Implementing Regulations for the PRC Labor Contract Law which became effective immediately and interprets and supplements the provisions of the Labor Contract Law.</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January 2014, the Ministry of Human Resource and Social Security of the PRC issued the Interim Provisions on Labor Dispatching, which became effective in March 2014, pursuant to which it provides that the number of dispatched workers used by an employer shall not exceed 10% of the total number of its employees.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PRC governmental authorities have passed a variety of laws and regulations regarding social insurance and housing funds from time to time, including, among others, the Social Insurance Law of the People’s Republic of China, the Regulation of Insurance for Labor Injury, the Regulations of Insurance for Unemployment, the Provisional Insurance Measures for Maternal Employees, the Interim Administrative Provisions on Registration of Social Insurance and the Administrative Regulations on the Housing Provident Fund.</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According to the Social Insurance Law of PRC, which issued by the SCNPC on October 28, 2010 and came into effect on July 1, 2011 and was latest revised on December 29, 2018, enterprises and institutions in the PRC shall provide their employees with welfare schemes covering pension insurance, unemployment insurance, maternity insurance, work-related injury insurance, medical insurance and other welfare plans. The employer shall apply to the local social insurance agency for social insurance registration within 30 days from the date of its formation. And it shall, within 30 days from the date of employment, apply to the social insurance agency for social insurance registration for the employee.</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According to the Administrative Regulations on the Housing Provident Fund, implemented since April 3, 1999 and latest amended on March 24, 2019, any newly established entity shall make deposit registration at the housing accumulation fund management center within 30 days as of its establishment. After that, the entity shall open a housing accumulation fund account for its employees in an entrusted bank. Within 30 days as of the date an employee is recruited, the entity shall make deposit registration at the housing accumulation fund management center and seal up the employee’s housing accumulation fund account in the bank mentioned above within 30 days from termination of the employment relationship.</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Tax in the PRC</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PRC Enterprise Income Tax Law was promulgated in March 2007 and was most recently amended in December 2018. The PRC Enterprise Income Tax Law applies a uniform 25% enterprise income tax rate to both foreign-invested enterprises and domestic enterprises, except where tax incentives are granted to special industries and projects. Under the PRC Enterprise Income Tax Law, an enterprise established outside China with “de facto management bodies” within China is considered a “resident enterprise” for PRC enterprise income tax purposes and is generally subject to a uniform 25% enterprise income tax rate on its worldwide income. Under the implementation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regulations to the PRC Enterprise Income Tax Law, a “de facto management body” is defined as the body that exercises full and substantial control and overall management over the business, productions, personnel, accounts and properties of an enterprise.</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Value-Added Tax</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Value-added Tax Law of the PRC (effective on January 1, 2026) and the Implementation Regulations of the Value-Added Tax Law of the PRC promulgated (effective on January 1, 2026) replace the PRC Provisional Regulations on Value-Added Tax (promulgated in 1993 and last amended in 2017). According to such laws and regulations, entities and individuals engaged in the sale of goods, services, intangible assets, or real estate within China, or importing goods to China, shall be identified as taxpayers of value-added tax, and shall pay value-added tax. The sale of goods, services, intangible assets, or real estate refers to the transfer of ownership of goods or real estate for a consideration, the provision of services for a fee, or the transfer of ownership or use rights of intangible assets for a consideration. For taxpayers selling goods, processing, repair or fitting services, or tangible movable property leasing services; or importing goods, the tax rate shall be 13%, unless otherwise specified; for taxpayers selling transportation, postal, basic telecommunications, construction, or real estate leasing services, selling real estate, transferring land use rights, or selling or importing specified goods, the tax rate shall be 9%, unless otherwise specified; for taxpayers selling services or intangible assets, the tax rate shall be 6%, unless otherwise specified; for taxpayers exporting goods, the tax rate shall be zero, except as otherwise provided by the State Council; and for entities and individuals within China engaging in cross-border sales of services or intangible assets within the scope defined by the State Council, the tax rate shall be zero.</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 description of our management, please read “</w:t>
      </w:r>
      <w:r>
        <w:rPr>
          <w:rFonts w:ascii="Times New Roman" w:cs="Times New Roman" w:eastAsia="Times New Roman" w:hAnsi="Times New Roman"/>
          <w:sz w:val="18"/>
          <w:szCs w:val="18"/>
          <w:i w:val="1"/>
          <w:iCs w:val="1"/>
          <w:color w:val="auto"/>
        </w:rPr>
        <w:t>Item 6. Directors, Senior Management and Employees</w:t>
      </w:r>
      <w:r>
        <w:rPr>
          <w:rFonts w:ascii="Times New Roman" w:cs="Times New Roman" w:eastAsia="Times New Roman" w:hAnsi="Times New Roman"/>
          <w:sz w:val="18"/>
          <w:szCs w:val="18"/>
          <w:color w:val="auto"/>
        </w:rPr>
        <w:t>” in our 2025 Annual Report, which is incorporated by reference into this prospectus. There have been no material changes or developments to our management since the filing of our 2025 Annual Report, except as otherwise set forth in this prospectus.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 13d-3 under the Exchange Act, of our Ordinary Shares as of the date of this prospectus, and as adjusted to reflect the sale of the Ordinary Shares offered in this offering for:</w:t>
      </w:r>
    </w:p>
    <w:p>
      <w:pPr>
        <w:spacing w:after="0" w:line="68"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appointees and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our Ordinary Shares.</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prior to this offering is based on 48,237,472 Ordinary Shares outstanding, excluding the number of Ordinary Shares issuable upon vesting of our outstanding restricted share units, as of the date of this prospectus.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percentage of Ordinary Shares beneficially owned after the offering is based on 53,597,191 Ordinary Shares assumed to be outstanding after the closing of this offering, after giving effect to the sale of all the Ordinary Shares offered hereby, assuming the number of Ordinary Shares offered by us, as set forth on the cover of this prospectus, remains the same. 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3"/>
                <w:szCs w:val="13"/>
                <w:color w:val="auto"/>
              </w:rPr>
            </w:pPr>
          </w:p>
        </w:tc>
        <w:tc>
          <w:tcPr>
            <w:tcW w:w="1800" w:type="dxa"/>
            <w:vAlign w:val="bottom"/>
            <w:gridSpan w:val="3"/>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40" w:type="dxa"/>
            <w:vAlign w:val="bottom"/>
          </w:tcPr>
          <w:p>
            <w:pPr>
              <w:spacing w:after="0"/>
              <w:rPr>
                <w:sz w:val="12"/>
                <w:szCs w:val="12"/>
                <w:color w:val="auto"/>
              </w:rPr>
            </w:pPr>
          </w:p>
        </w:tc>
        <w:tc>
          <w:tcPr>
            <w:tcW w:w="1800" w:type="dxa"/>
            <w:vAlign w:val="bottom"/>
            <w:gridSpan w:val="3"/>
          </w:tcPr>
          <w:p>
            <w:pPr>
              <w:jc w:val="right"/>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140" w:type="dxa"/>
            <w:vAlign w:val="bottom"/>
          </w:tcPr>
          <w:p>
            <w:pPr>
              <w:spacing w:after="0"/>
              <w:rPr>
                <w:sz w:val="16"/>
                <w:szCs w:val="16"/>
                <w:color w:val="auto"/>
              </w:rPr>
            </w:pPr>
          </w:p>
        </w:tc>
        <w:tc>
          <w:tcPr>
            <w:tcW w:w="1800" w:type="dxa"/>
            <w:vAlign w:val="bottom"/>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40" w:type="dxa"/>
            <w:vAlign w:val="bottom"/>
          </w:tcPr>
          <w:p>
            <w:pPr>
              <w:spacing w:after="0"/>
              <w:rPr>
                <w:sz w:val="12"/>
                <w:szCs w:val="12"/>
                <w:color w:val="auto"/>
              </w:rPr>
            </w:pPr>
          </w:p>
        </w:tc>
        <w:tc>
          <w:tcPr>
            <w:tcW w:w="9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40" w:type="dxa"/>
            <w:vAlign w:val="bottom"/>
          </w:tcPr>
          <w:p>
            <w:pPr>
              <w:spacing w:after="0"/>
              <w:rPr>
                <w:sz w:val="12"/>
                <w:szCs w:val="12"/>
                <w:color w:val="auto"/>
              </w:rPr>
            </w:pPr>
          </w:p>
        </w:tc>
        <w:tc>
          <w:tcPr>
            <w:tcW w:w="980" w:type="dxa"/>
            <w:vAlign w:val="bottom"/>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40" w:type="dxa"/>
            <w:vAlign w:val="bottom"/>
          </w:tcPr>
          <w:p>
            <w:pPr>
              <w:spacing w:after="0"/>
              <w:rPr>
                <w:sz w:val="16"/>
                <w:szCs w:val="16"/>
                <w:color w:val="auto"/>
              </w:rPr>
            </w:pPr>
          </w:p>
        </w:tc>
        <w:tc>
          <w:tcPr>
            <w:tcW w:w="9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68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b w:val="1"/>
                <w:bCs w:val="1"/>
                <w:color w:val="auto"/>
              </w:rPr>
              <w:t>Directors, Director Appointees and Executive Officers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ZHOU Kai</w:t>
            </w:r>
            <w:r>
              <w:rPr>
                <w:rFonts w:ascii="Times New Roman" w:cs="Times New Roman" w:eastAsia="Times New Roman" w:hAnsi="Times New Roman"/>
                <w:sz w:val="29"/>
                <w:szCs w:val="29"/>
                <w:color w:val="auto"/>
                <w:vertAlign w:val="superscript"/>
              </w:rPr>
              <w:t>(2)</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98"/>
              </w:rPr>
              <w:t>40,980,000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40,980,000</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76.46%</w:t>
            </w:r>
          </w:p>
        </w:tc>
        <w:tc>
          <w:tcPr>
            <w:tcW w:w="0" w:type="dxa"/>
            <w:vAlign w:val="bottom"/>
          </w:tcPr>
          <w:p>
            <w:pPr>
              <w:spacing w:after="0"/>
              <w:rPr>
                <w:sz w:val="1"/>
                <w:szCs w:val="1"/>
                <w:color w:val="auto"/>
              </w:rPr>
            </w:pPr>
          </w:p>
        </w:tc>
      </w:tr>
      <w:tr>
        <w:trPr>
          <w:trHeight w:val="284"/>
        </w:trPr>
        <w:tc>
          <w:tcPr>
            <w:tcW w:w="4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CHU Chun On Franco</w:t>
            </w:r>
            <w:r>
              <w:rPr>
                <w:rFonts w:ascii="Times New Roman" w:cs="Times New Roman" w:eastAsia="Times New Roman" w:hAnsi="Times New Roman"/>
                <w:sz w:val="29"/>
                <w:szCs w:val="29"/>
                <w:color w:val="auto"/>
                <w:vertAlign w:val="superscript"/>
              </w:rPr>
              <w:t>(3)</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James Beeland Rogers Jr.</w:t>
            </w:r>
            <w:r>
              <w:rPr>
                <w:rFonts w:ascii="Times New Roman" w:cs="Times New Roman" w:eastAsia="Times New Roman" w:hAnsi="Times New Roman"/>
                <w:sz w:val="29"/>
                <w:szCs w:val="29"/>
                <w:color w:val="auto"/>
                <w:vertAlign w:val="superscript"/>
              </w:rPr>
              <w:t>(4)</w:t>
            </w:r>
          </w:p>
        </w:tc>
        <w:tc>
          <w:tcPr>
            <w:tcW w:w="100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220,746</w:t>
            </w:r>
            <w:r>
              <w:rPr>
                <w:rFonts w:ascii="Times New Roman" w:cs="Times New Roman" w:eastAsia="Times New Roman" w:hAnsi="Times New Roman"/>
                <w:sz w:val="29"/>
                <w:szCs w:val="29"/>
                <w:color w:val="auto"/>
                <w:vertAlign w:val="superscript"/>
              </w:rPr>
              <w:t>(7)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12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220,746</w:t>
            </w:r>
            <w:r>
              <w:rPr>
                <w:rFonts w:ascii="Times New Roman" w:cs="Times New Roman" w:eastAsia="Times New Roman" w:hAnsi="Times New Roman"/>
                <w:sz w:val="29"/>
                <w:szCs w:val="29"/>
                <w:color w:val="auto"/>
                <w:vertAlign w:val="superscript"/>
              </w:rPr>
              <w:t>(7)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83"/>
        </w:trPr>
        <w:tc>
          <w:tcPr>
            <w:tcW w:w="4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WEN Huaxin</w:t>
            </w:r>
            <w:r>
              <w:rPr>
                <w:rFonts w:ascii="Times New Roman" w:cs="Times New Roman" w:eastAsia="Times New Roman" w:hAnsi="Times New Roman"/>
                <w:sz w:val="29"/>
                <w:szCs w:val="29"/>
                <w:color w:val="auto"/>
                <w:vertAlign w:val="superscript"/>
              </w:rPr>
              <w:t>(5)</w:t>
            </w:r>
          </w:p>
        </w:tc>
        <w:tc>
          <w:tcPr>
            <w:tcW w:w="100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688,458</w:t>
            </w:r>
            <w:r>
              <w:rPr>
                <w:rFonts w:ascii="Times New Roman" w:cs="Times New Roman" w:eastAsia="Times New Roman" w:hAnsi="Times New Roman"/>
                <w:sz w:val="29"/>
                <w:szCs w:val="29"/>
                <w:color w:val="auto"/>
                <w:vertAlign w:val="superscript"/>
              </w:rPr>
              <w:t>(8)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12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688,458</w:t>
            </w:r>
            <w:r>
              <w:rPr>
                <w:rFonts w:ascii="Times New Roman" w:cs="Times New Roman" w:eastAsia="Times New Roman" w:hAnsi="Times New Roman"/>
                <w:sz w:val="29"/>
                <w:szCs w:val="29"/>
                <w:color w:val="auto"/>
                <w:vertAlign w:val="superscript"/>
              </w:rPr>
              <w:t>(8)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84"/>
        </w:trPr>
        <w:tc>
          <w:tcPr>
            <w:tcW w:w="4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FUNG Chi Kin</w:t>
            </w:r>
            <w:r>
              <w:rPr>
                <w:rFonts w:ascii="Times New Roman" w:cs="Times New Roman" w:eastAsia="Times New Roman" w:hAnsi="Times New Roman"/>
                <w:sz w:val="29"/>
                <w:szCs w:val="29"/>
                <w:color w:val="auto"/>
                <w:vertAlign w:val="superscript"/>
              </w:rPr>
              <w:t>(6)</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8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DU Haibo</w:t>
            </w:r>
            <w:r>
              <w:rPr>
                <w:rFonts w:ascii="Times New Roman" w:cs="Times New Roman" w:eastAsia="Times New Roman" w:hAnsi="Times New Roman"/>
                <w:sz w:val="29"/>
                <w:szCs w:val="29"/>
                <w:color w:val="auto"/>
                <w:vertAlign w:val="superscript"/>
              </w:rPr>
              <w:t>(6)</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JIANG Wen</w:t>
            </w:r>
            <w:r>
              <w:rPr>
                <w:rFonts w:ascii="Times New Roman" w:cs="Times New Roman" w:eastAsia="Times New Roman" w:hAnsi="Times New Roman"/>
                <w:sz w:val="29"/>
                <w:szCs w:val="29"/>
                <w:color w:val="auto"/>
                <w:vertAlign w:val="superscript"/>
              </w:rPr>
              <w:t>(6)</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8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director appointees and executive officers as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 group (seven persons)</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8"/>
              </w:rPr>
              <w:t>41,889,204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41,889,204</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78.16%</w:t>
            </w:r>
          </w:p>
        </w:tc>
        <w:tc>
          <w:tcPr>
            <w:tcW w:w="0" w:type="dxa"/>
            <w:vAlign w:val="bottom"/>
          </w:tcPr>
          <w:p>
            <w:pPr>
              <w:spacing w:after="0"/>
              <w:rPr>
                <w:sz w:val="1"/>
                <w:szCs w:val="1"/>
                <w:color w:val="auto"/>
              </w:rPr>
            </w:pPr>
          </w:p>
        </w:tc>
      </w:tr>
      <w:tr>
        <w:trPr>
          <w:trHeight w:val="241"/>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680" w:type="dxa"/>
            <w:vAlign w:val="bottom"/>
            <w:shd w:val="clear" w:color="auto" w:fill="CCEEFF"/>
          </w:tcPr>
          <w:p>
            <w:pPr>
              <w:spacing w:after="0" w:line="285" w:lineRule="exact"/>
              <w:rPr>
                <w:sz w:val="20"/>
                <w:szCs w:val="20"/>
                <w:color w:val="auto"/>
              </w:rPr>
            </w:pPr>
            <w:r>
              <w:rPr>
                <w:rFonts w:ascii="Times New Roman" w:cs="Times New Roman" w:eastAsia="Times New Roman" w:hAnsi="Times New Roman"/>
                <w:sz w:val="18"/>
                <w:szCs w:val="18"/>
                <w:color w:val="auto"/>
              </w:rPr>
              <w:t>WATON CORPORATION LIMITED</w:t>
            </w:r>
            <w:r>
              <w:rPr>
                <w:rFonts w:ascii="Times New Roman" w:cs="Times New Roman" w:eastAsia="Times New Roman" w:hAnsi="Times New Roman"/>
                <w:sz w:val="29"/>
                <w:szCs w:val="29"/>
                <w:color w:val="auto"/>
                <w:vertAlign w:val="superscript"/>
              </w:rPr>
              <w:t>(2)</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8"/>
              </w:rPr>
              <w:t>40,980,000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40,980,000</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76.46%</w:t>
            </w:r>
          </w:p>
        </w:tc>
        <w:tc>
          <w:tcPr>
            <w:tcW w:w="0" w:type="dxa"/>
            <w:vAlign w:val="bottom"/>
          </w:tcPr>
          <w:p>
            <w:pPr>
              <w:spacing w:after="0"/>
              <w:rPr>
                <w:sz w:val="1"/>
                <w:szCs w:val="1"/>
                <w:color w:val="auto"/>
              </w:rPr>
            </w:pPr>
          </w:p>
        </w:tc>
      </w:tr>
      <w:tr>
        <w:trPr>
          <w:trHeight w:val="284"/>
        </w:trPr>
        <w:tc>
          <w:tcPr>
            <w:tcW w:w="46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TRIUMPH TEAM ASSETS LIMITED</w:t>
            </w:r>
            <w:r>
              <w:rPr>
                <w:rFonts w:ascii="Times New Roman" w:cs="Times New Roman" w:eastAsia="Times New Roman" w:hAnsi="Times New Roman"/>
                <w:sz w:val="29"/>
                <w:szCs w:val="29"/>
                <w:color w:val="auto"/>
                <w:vertAlign w:val="superscript"/>
              </w:rPr>
              <w:t>(2)</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98"/>
              </w:rPr>
              <w:t>40,980,000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40,980,000</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76.46%</w:t>
            </w:r>
          </w:p>
        </w:tc>
        <w:tc>
          <w:tcPr>
            <w:tcW w:w="0" w:type="dxa"/>
            <w:vAlign w:val="bottom"/>
          </w:tcPr>
          <w:p>
            <w:pPr>
              <w:spacing w:after="0"/>
              <w:rPr>
                <w:sz w:val="1"/>
                <w:szCs w:val="1"/>
                <w:color w:val="auto"/>
              </w:rPr>
            </w:pPr>
          </w:p>
        </w:tc>
      </w:tr>
      <w:tr>
        <w:trPr>
          <w:trHeight w:val="283"/>
        </w:trPr>
        <w:tc>
          <w:tcPr>
            <w:tcW w:w="46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WATON ESOP HOLDINGS LTD</w:t>
            </w:r>
            <w:r>
              <w:rPr>
                <w:rFonts w:ascii="Times New Roman" w:cs="Times New Roman" w:eastAsia="Times New Roman" w:hAnsi="Times New Roman"/>
                <w:sz w:val="29"/>
                <w:szCs w:val="29"/>
                <w:color w:val="auto"/>
                <w:vertAlign w:val="superscript"/>
              </w:rPr>
              <w:t>(2)</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8"/>
              </w:rPr>
              <w:t>40,980,000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40,980,000</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76.46%</w:t>
            </w:r>
          </w:p>
        </w:tc>
        <w:tc>
          <w:tcPr>
            <w:tcW w:w="0" w:type="dxa"/>
            <w:vAlign w:val="bottom"/>
          </w:tcPr>
          <w:p>
            <w:pPr>
              <w:spacing w:after="0"/>
              <w:rPr>
                <w:sz w:val="1"/>
                <w:szCs w:val="1"/>
                <w:color w:val="auto"/>
              </w:rPr>
            </w:pPr>
          </w:p>
        </w:tc>
      </w:tr>
      <w:tr>
        <w:trPr>
          <w:trHeight w:val="39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TZed Holding Group Ltd.</w:t>
            </w:r>
            <w:r>
              <w:rPr>
                <w:rFonts w:ascii="Times New Roman" w:cs="Times New Roman" w:eastAsia="Times New Roman" w:hAnsi="Times New Roman"/>
                <w:sz w:val="29"/>
                <w:szCs w:val="29"/>
                <w:color w:val="auto"/>
                <w:vertAlign w:val="superscript"/>
              </w:rPr>
              <w:t>(2)</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98"/>
              </w:rPr>
              <w:t>40,980,000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40,980,000</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76.46%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58420</wp:posOffset>
            </wp:positionV>
            <wp:extent cx="8229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17" w:lineRule="exact"/>
        <w:rPr>
          <w:sz w:val="20"/>
          <w:szCs w:val="20"/>
          <w:color w:val="auto"/>
        </w:rPr>
      </w:pPr>
    </w:p>
    <w:p>
      <w:pPr>
        <w:ind w:left="640" w:right="31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our directors and executive officers is Suites 3605-06, 36th Floor, Tower 6, The Gateway, Harbour City, Tsim Sha Tsui, Kowloon in Hong Kong.</w:t>
      </w:r>
    </w:p>
    <w:p>
      <w:pPr>
        <w:jc w:val="both"/>
        <w:ind w:left="640" w:right="299" w:hanging="348"/>
        <w:spacing w:after="0" w:line="229"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are held by WATON CORPORATION LIMITED (“Waton Corporation”), an exempted company incorporated in the Cayman Islands, of which approximately 47.70% are held by TRIUMPH TEAM ASSETS LIMITED (“Triumph Team Assets”) and approximately 9.40% are held by WATON ESOP HOLDINGS LTD (“Waton ESOP Holdings”). Each of Triumph Team Assets and Waton ESOP Holdings is 100% owned by TZed Holding Group Ltd. (“TZed Holding”). Our Chairman of the Board of Directors, and Chief Technology Officer, Mr. Zhou Kai, is the sole director of Waton Corporation and 100% owner of each of Triumph Team Assets, Waton ESOP Holdings and TZed Holding. Mr. Zhou Kai holds the voting powers (and dispositive powers) over the Ordinary Shares held by Waton Corporation. The registered address of Waton Corporation is Harneys Fiduciary (Cayman) Limited, 4th Floor, Harbour Place, 103 South Church Street,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319"/>
        <w:spacing w:after="0" w:line="241" w:lineRule="auto"/>
        <w:rPr>
          <w:sz w:val="20"/>
          <w:szCs w:val="20"/>
          <w:color w:val="auto"/>
        </w:rPr>
      </w:pPr>
      <w:r>
        <w:rPr>
          <w:rFonts w:ascii="Times New Roman" w:cs="Times New Roman" w:eastAsia="Times New Roman" w:hAnsi="Times New Roman"/>
          <w:sz w:val="14"/>
          <w:szCs w:val="14"/>
          <w:color w:val="auto"/>
        </w:rPr>
        <w:t>P.O. Box 10240, Grand Cayman KY1-1002, Cayman Islands. The registered address of each of Triumph Team Assets and Waton Esop Holdings is Harneys Corporate Services Limited, Craigmuir Chambers, Road Town, Tortola, VG 1110, British Virgin Islands. The registered address of TZed Holding is Start Chambers, Wickhams Cayt II, P.O. Box 2221, Road Town, Tortola, British Virgin Islands.</w:t>
      </w:r>
    </w:p>
    <w:p>
      <w:pPr>
        <w:spacing w:after="0" w:line="15" w:lineRule="exact"/>
        <w:rPr>
          <w:sz w:val="20"/>
          <w:szCs w:val="20"/>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and Chief Executive Officer.</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and Senior Advisor.</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Chief Financial Officer.</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220,746 Ordinary Shares issued upon the vesting and exercise of the restricted share units granted under the Company’s 2024 Global Equity Incentive Plan.</w:t>
      </w:r>
    </w:p>
    <w:p>
      <w:pPr>
        <w:jc w:val="both"/>
        <w:ind w:left="640" w:right="299" w:hanging="348"/>
        <w:spacing w:after="0" w:line="229"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688,458 Ordinary Shares issued upon the vesting and exercise of the restricted share units granted under the Company’s 2024 Global Equity Incentive Plan, which will be held under the 2024 Global Equity Incentive Plan Trust during the mandatory two-year lock-up period. As of the date of this prospectus, Mr. Wen Huaxin has completed the share transfer of 688,458 Ordinary Shares to WATON ESOP PLAN LTD. Mr. Wen Huaxin retains rights to vote, receive notices of meetings or rights to dividends or other distributions in respect of the Ordinary Shares during the mandatory lock-up period, and is the beneficial owner of the Ordinary Shares pursuant to Rule 13d-3 under the Exchange Act. See “</w:t>
      </w:r>
      <w:r>
        <w:rPr>
          <w:rFonts w:ascii="Times New Roman" w:cs="Times New Roman" w:eastAsia="Times New Roman" w:hAnsi="Times New Roman"/>
          <w:sz w:val="14"/>
          <w:szCs w:val="14"/>
          <w:i w:val="1"/>
          <w:iCs w:val="1"/>
          <w:color w:val="auto"/>
        </w:rPr>
        <w:t>Item 6. Directors, Senior Management And Employees — B. Compensation — Share Incentive Plan</w:t>
      </w:r>
      <w:r>
        <w:rPr>
          <w:rFonts w:ascii="Times New Roman" w:cs="Times New Roman" w:eastAsia="Times New Roman" w:hAnsi="Times New Roman"/>
          <w:sz w:val="14"/>
          <w:szCs w:val="14"/>
          <w:color w:val="auto"/>
        </w:rPr>
        <w:t>” in our 2025 Annual Report for details.</w:t>
      </w:r>
    </w:p>
    <w:p>
      <w:pPr>
        <w:spacing w:after="0" w:line="75"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Other than as disclosed in this prospectus and “</w:t>
      </w:r>
      <w:r>
        <w:rPr>
          <w:rFonts w:ascii="Times New Roman" w:cs="Times New Roman" w:eastAsia="Times New Roman" w:hAnsi="Times New Roman"/>
          <w:sz w:val="18"/>
          <w:szCs w:val="18"/>
          <w:i w:val="1"/>
          <w:iCs w:val="1"/>
          <w:color w:val="auto"/>
        </w:rPr>
        <w:t>Item 6. Directors, Senior Management and Employees—E.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in our 2025 Annual Report, there are not any significant changes in the percentage ownership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major shareholders during the past three years.</w:t>
      </w:r>
    </w:p>
    <w:p>
      <w:pPr>
        <w:spacing w:after="0" w:line="6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None of the Company’s major shareholders will have any different or special voting rights with respect to their Ordinary Shares.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100% of our issued and outstanding Ordinary Shares are held in the United States by one record holder, Cede and Company, as nominee for beneficial shareholders.</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To our knowledge, the Company is not directly or indirectly owned or controlled by another corporation(s), by any foreign government, or by any other natural or legal person(s) severally or jointly. We are not aware of any arrangement that may, at a subsequent date, result in a change of control of our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9" w:lineRule="exact"/>
        <w:rPr>
          <w:sz w:val="20"/>
          <w:szCs w:val="20"/>
          <w:color w:val="auto"/>
        </w:rPr>
      </w:pPr>
    </w:p>
    <w:p>
      <w:pPr>
        <w:ind w:left="300" w:right="299"/>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6. Directors, Senior Management and Employees—C. Board Practices—Employment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Agreements</w:t>
      </w:r>
      <w:r>
        <w:rPr>
          <w:rFonts w:ascii="Times New Roman" w:cs="Times New Roman" w:eastAsia="Times New Roman" w:hAnsi="Times New Roman"/>
          <w:sz w:val="18"/>
          <w:szCs w:val="18"/>
          <w:color w:val="auto"/>
        </w:rPr>
        <w:t>” in our 2025 Annual Report.</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Transactions with Related Parties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table below sets forth major related parties of us and their relationships with us.</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Names of related parties</w:t>
            </w:r>
          </w:p>
        </w:tc>
        <w:tc>
          <w:tcPr>
            <w:tcW w:w="220" w:type="dxa"/>
            <w:vAlign w:val="bottom"/>
          </w:tcPr>
          <w:p>
            <w:pPr>
              <w:spacing w:after="0"/>
              <w:rPr>
                <w:sz w:val="16"/>
                <w:szCs w:val="16"/>
                <w:color w:val="auto"/>
              </w:rPr>
            </w:pPr>
          </w:p>
        </w:tc>
        <w:tc>
          <w:tcPr>
            <w:tcW w:w="34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Relationship</w:t>
            </w:r>
          </w:p>
        </w:tc>
      </w:tr>
      <w:tr>
        <w:trPr>
          <w:trHeight w:val="23"/>
        </w:trPr>
        <w:tc>
          <w:tcPr>
            <w:tcW w:w="4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1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Zhou Kai</w:t>
            </w: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Principal shareholder, chief technology officer,</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46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Shenzhen Jinhui Technology Co., Ltd. (“Shenzhen Jinhui”)</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 company previously controlled by Zhou Kai</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and ceased to be a related party in the fourth</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quarter of 2025.</w:t>
            </w:r>
          </w:p>
        </w:tc>
      </w:tr>
      <w:tr>
        <w:trPr>
          <w:trHeight w:val="46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Wealth Guardian Investment Limited (“WGI”)</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was able to exercise significant</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influence over WGI because two individuals,</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who are the senior management of WGI, are</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 shareholders of the Company holding more</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than or approximately 10% aggregate equity</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interests. WGI is no longer the Company’s</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customer, effective from October 2025.</w:t>
            </w:r>
          </w:p>
        </w:tc>
      </w:tr>
      <w:tr>
        <w:trPr>
          <w:trHeight w:val="46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Waton Trust Limited</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An entity where Zhou Kai previously acted as a</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director. In the third quarter of 2025, Zhou Kai</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resigned from the directorship and remained as</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 20% shareholder.</w:t>
            </w:r>
          </w:p>
        </w:tc>
      </w:tr>
      <w:tr>
        <w:trPr>
          <w:trHeight w:val="46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 MA Ltd</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shareholder,  ST  MA  Ltd,</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ceased to be a shareholder in June 2023.</w:t>
            </w:r>
          </w:p>
        </w:tc>
      </w:tr>
      <w:tr>
        <w:trPr>
          <w:trHeight w:val="46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WIG SPC - SPs</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An entity incorporated in the Cayman Islands,</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with 100% of its issued management shares</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owned by WSI, established for the purpose of</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holding investment segregated portfolios (each,</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an “SP” and collectively, the “SPs”). The SPs</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are each formed for the purpose of investing in</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and are owned by different investors.</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Effective December 2024, WSI serves as the</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manager of the WIG SPC series</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SPs. During the six months ended September</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30, 2025, there was no management income</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incurred,  and  WSI  was  subsequently  re-</w:t>
            </w: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appointed as a co-investment manager for Z</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Navigation Option.</w:t>
            </w:r>
          </w:p>
        </w:tc>
      </w:tr>
    </w:tbl>
    <w:p>
      <w:pPr>
        <w:spacing w:after="0" w:line="3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Transaction with WIG SPC</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July 2025, WSI applied to subscribe for and purchase Class VI shares (junior class) in WIG SPC attributable to Z Navigation Option Hedge Fund S.P. in the amount of $1.0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Transactions with WGI</w:t>
      </w:r>
    </w:p>
    <w:p>
      <w:pPr>
        <w:spacing w:after="0" w:line="117" w:lineRule="exact"/>
        <w:rPr>
          <w:sz w:val="20"/>
          <w:szCs w:val="20"/>
          <w:color w:val="auto"/>
        </w:rPr>
      </w:pPr>
    </w:p>
    <w:p>
      <w:pPr>
        <w:ind w:left="1300" w:right="1300"/>
        <w:spacing w:after="0" w:line="282" w:lineRule="auto"/>
        <w:rPr>
          <w:sz w:val="20"/>
          <w:szCs w:val="20"/>
          <w:color w:val="auto"/>
        </w:rPr>
      </w:pPr>
      <w:r>
        <w:rPr>
          <w:rFonts w:ascii="Times New Roman" w:cs="Times New Roman" w:eastAsia="Times New Roman" w:hAnsi="Times New Roman"/>
          <w:sz w:val="18"/>
          <w:szCs w:val="18"/>
          <w:color w:val="auto"/>
        </w:rPr>
        <w:t>We have conducted material transactions with WGI through WSI and/or WTI, which entities have been services providers for WGI. These transactions are as follows:</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gridSpan w:val="2"/>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60" w:type="dxa"/>
            <w:vAlign w:val="bottom"/>
          </w:tcPr>
          <w:p>
            <w:pPr>
              <w:spacing w:after="0"/>
              <w:rPr>
                <w:sz w:val="16"/>
                <w:szCs w:val="16"/>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 clients – unsettled trade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$1,549,709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$11,043,210</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$5,538,025</w:t>
            </w:r>
          </w:p>
        </w:tc>
        <w:tc>
          <w:tcPr>
            <w:tcW w:w="0" w:type="dxa"/>
            <w:vAlign w:val="bottom"/>
          </w:tcPr>
          <w:p>
            <w:pPr>
              <w:spacing w:after="0"/>
              <w:rPr>
                <w:sz w:val="1"/>
                <w:szCs w:val="1"/>
                <w:color w:val="auto"/>
              </w:rPr>
            </w:pPr>
          </w:p>
        </w:tc>
      </w:tr>
      <w:tr>
        <w:trPr>
          <w:trHeight w:val="283"/>
        </w:trPr>
        <w:tc>
          <w:tcPr>
            <w:tcW w:w="45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Receivables – clients – margin loan (net)</w:t>
            </w:r>
            <w:r>
              <w:rPr>
                <w:rFonts w:ascii="Times New Roman" w:cs="Times New Roman" w:eastAsia="Times New Roman" w:hAnsi="Times New Roman"/>
                <w:sz w:val="29"/>
                <w:szCs w:val="29"/>
                <w:color w:val="auto"/>
                <w:vertAlign w:val="superscript"/>
              </w:rPr>
              <w:t>(i)(ii)</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3,276,678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1,873,556</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 software licensing and related support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1,197,352</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5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Receivables – Total</w:t>
            </w:r>
            <w:r>
              <w:rPr>
                <w:rFonts w:ascii="Times New Roman" w:cs="Times New Roman" w:eastAsia="Times New Roman" w:hAnsi="Times New Roman"/>
                <w:sz w:val="29"/>
                <w:szCs w:val="29"/>
                <w:color w:val="auto"/>
                <w:vertAlign w:val="superscript"/>
              </w:rPr>
              <w:t>(iii)</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1,800,349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5,426,387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14,114,118</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5,538,025</w:t>
            </w: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 related party</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Payables – brokerage services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1,417,153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13,867,823</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7,101,004</w:t>
            </w:r>
          </w:p>
        </w:tc>
        <w:tc>
          <w:tcPr>
            <w:tcW w:w="0" w:type="dxa"/>
            <w:vAlign w:val="bottom"/>
          </w:tcPr>
          <w:p>
            <w:pPr>
              <w:spacing w:after="0"/>
              <w:rPr>
                <w:sz w:val="1"/>
                <w:szCs w:val="1"/>
                <w:color w:val="auto"/>
              </w:rPr>
            </w:pPr>
          </w:p>
        </w:tc>
      </w:tr>
      <w:tr>
        <w:trPr>
          <w:trHeight w:val="24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 Broker-dealer</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163,635</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Payables – Total</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1,492,289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14,031,458</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185420</wp:posOffset>
            </wp:positionV>
            <wp:extent cx="822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1640" w:hanging="348"/>
        <w:spacing w:after="0"/>
        <w:tabs>
          <w:tab w:leader="none" w:pos="1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WSI extended a credit line of $6.2 million to WGI for margin transactions during the year ended March 31, 2025.</w:t>
      </w:r>
    </w:p>
    <w:p>
      <w:pPr>
        <w:spacing w:after="0" w:line="41" w:lineRule="exact"/>
        <w:rPr>
          <w:rFonts w:ascii="Times New Roman" w:cs="Times New Roman" w:eastAsia="Times New Roman" w:hAnsi="Times New Roman"/>
          <w:sz w:val="14"/>
          <w:szCs w:val="14"/>
          <w:color w:val="auto"/>
        </w:rPr>
      </w:pPr>
    </w:p>
    <w:p>
      <w:pPr>
        <w:ind w:left="1660" w:right="13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WSI extended a credit line of nil and $4.3 million to WGI for margin transactions during the six months ended September 30, 2025 and 2024, respectively.</w:t>
      </w:r>
    </w:p>
    <w:p>
      <w:pPr>
        <w:ind w:left="1640" w:right="1320" w:hanging="348"/>
        <w:spacing w:after="0" w:line="261" w:lineRule="auto"/>
        <w:tabs>
          <w:tab w:leader="none" w:pos="1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March 31, 2025, 2024 and 2023, the amounts consisted of margin loan receivables of nil, $3.5 million, $3.6 million and nil, net of client payables of nil, $0.2 million, $1.7 million and nil, respectively.</w:t>
      </w:r>
    </w:p>
    <w:p>
      <w:pPr>
        <w:ind w:left="1640" w:right="1320" w:hanging="348"/>
        <w:spacing w:after="0" w:line="261" w:lineRule="auto"/>
        <w:tabs>
          <w:tab w:leader="none" w:pos="1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March 31, 2025, 2024 and 2023, receivables from this customer, including margin loan receivables, have been either fully collateralized by the client-owned securities held in the customer’s account or fully collected.</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7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0" w:type="dxa"/>
            <w:vAlign w:val="bottom"/>
          </w:tcPr>
          <w:p>
            <w:pPr>
              <w:spacing w:after="0"/>
              <w:rPr>
                <w:sz w:val="13"/>
                <w:szCs w:val="13"/>
                <w:color w:val="auto"/>
              </w:rPr>
            </w:pPr>
          </w:p>
        </w:tc>
        <w:tc>
          <w:tcPr>
            <w:tcW w:w="2640" w:type="dxa"/>
            <w:vAlign w:val="bottom"/>
            <w:gridSpan w:val="5"/>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1740" w:type="dxa"/>
            <w:vAlign w:val="bottom"/>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6"/>
                <w:szCs w:val="16"/>
                <w:color w:val="auto"/>
              </w:rPr>
            </w:pPr>
          </w:p>
        </w:tc>
        <w:tc>
          <w:tcPr>
            <w:tcW w:w="26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brokerage commission and handling</w:t>
            </w: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 income</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$1,388,432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892,837</w:t>
            </w:r>
          </w:p>
        </w:tc>
        <w:tc>
          <w:tcPr>
            <w:tcW w:w="920" w:type="dxa"/>
            <w:vAlign w:val="bottom"/>
            <w:tcBorders>
              <w:right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$2,539,260</w:t>
            </w:r>
          </w:p>
        </w:tc>
        <w:tc>
          <w:tcPr>
            <w:tcW w:w="920" w:type="dxa"/>
            <w:vAlign w:val="bottom"/>
            <w:tcBorders>
              <w:right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$1,757,731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$1,707,334</w:t>
            </w:r>
          </w:p>
        </w:tc>
        <w:tc>
          <w:tcPr>
            <w:tcW w:w="0" w:type="dxa"/>
            <w:vAlign w:val="bottom"/>
          </w:tcPr>
          <w:p>
            <w:pPr>
              <w:spacing w:after="0"/>
              <w:rPr>
                <w:sz w:val="1"/>
                <w:szCs w:val="1"/>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Revenues – interest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1,040,634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1,016,179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181,550</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software licensing and related support</w:t>
            </w: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1,197,551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2,786,105</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2,234,792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2,013,020</w:t>
            </w:r>
          </w:p>
        </w:tc>
        <w:tc>
          <w:tcPr>
            <w:tcW w:w="92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4,779,894</w:t>
            </w:r>
          </w:p>
        </w:tc>
        <w:tc>
          <w:tcPr>
            <w:tcW w:w="920" w:type="dxa"/>
            <w:vAlign w:val="bottom"/>
            <w:gridSpan w:val="2"/>
          </w:tcPr>
          <w:p>
            <w:pPr>
              <w:jc w:val="center"/>
              <w:ind w:left="14"/>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3,971,461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4,674,989</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30, 2025 and 2024, the Company recognized software licensing and related support services revenue of $400,000 and $600,000, respectively, before invoicing to WGI. The amount was recorded under contract assets – related party in the unaudited condensed consolidated balance sheets.</w:t>
      </w:r>
    </w:p>
    <w:p>
      <w:pPr>
        <w:spacing w:after="0" w:line="68"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Effective October 2025, WGI has dissolved investment accounts in the Company, therefore, WGI is no longer a customer of the Company after October 2025.</w:t>
      </w:r>
    </w:p>
    <w:p>
      <w:pPr>
        <w:spacing w:after="0" w:line="3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Transactions with Zhou Kai</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conducts transactions with Zhou Kai through WSI. These transactions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80" w:type="dxa"/>
            <w:vAlign w:val="bottom"/>
          </w:tcPr>
          <w:p>
            <w:pPr>
              <w:spacing w:after="0"/>
              <w:rPr>
                <w:sz w:val="16"/>
                <w:szCs w:val="16"/>
                <w:color w:val="auto"/>
              </w:rPr>
            </w:pPr>
          </w:p>
        </w:tc>
        <w:tc>
          <w:tcPr>
            <w:tcW w:w="1440" w:type="dxa"/>
            <w:vAlign w:val="bottom"/>
            <w:gridSpan w:val="9"/>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80" w:type="dxa"/>
            <w:vAlign w:val="bottom"/>
            <w:gridSpan w:val="4"/>
          </w:tcPr>
          <w:p>
            <w:pPr>
              <w:jc w:val="center"/>
              <w:ind w:left="2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580" w:type="dxa"/>
            <w:vAlign w:val="bottom"/>
            <w:gridSpan w:val="4"/>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130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 clients – margin loan</w:t>
            </w:r>
          </w:p>
        </w:tc>
        <w:tc>
          <w:tcPr>
            <w:tcW w:w="1840" w:type="dxa"/>
            <w:vAlign w:val="bottom"/>
            <w:shd w:val="clear" w:color="auto" w:fill="CCEEFF"/>
          </w:tcPr>
          <w:p>
            <w:pPr>
              <w:spacing w:after="0"/>
              <w:rPr>
                <w:sz w:val="24"/>
                <w:szCs w:val="24"/>
                <w:color w:val="auto"/>
              </w:rPr>
            </w:pPr>
          </w:p>
        </w:tc>
        <w:tc>
          <w:tcPr>
            <w:tcW w:w="1520" w:type="dxa"/>
            <w:vAlign w:val="bottom"/>
            <w:gridSpan w:val="4"/>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2,839</w:t>
            </w:r>
          </w:p>
        </w:tc>
        <w:tc>
          <w:tcPr>
            <w:tcW w:w="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w:t>
            </w:r>
          </w:p>
        </w:tc>
        <w:tc>
          <w:tcPr>
            <w:tcW w:w="28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24"/>
                <w:szCs w:val="24"/>
                <w:color w:val="auto"/>
              </w:rPr>
            </w:pPr>
          </w:p>
        </w:tc>
        <w:tc>
          <w:tcPr>
            <w:tcW w:w="3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r>
      <w:tr>
        <w:trPr>
          <w:trHeight w:val="425"/>
        </w:trPr>
        <w:tc>
          <w:tcPr>
            <w:tcW w:w="130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jc w:val="right"/>
              <w:ind w:right="799"/>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46" w:name="page47"/>
    <w:bookmarkEnd w:id="4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160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80" w:type="dxa"/>
            <w:vAlign w:val="bottom"/>
          </w:tcPr>
          <w:p>
            <w:pPr>
              <w:spacing w:after="0"/>
              <w:rPr>
                <w:sz w:val="24"/>
                <w:szCs w:val="24"/>
                <w:color w:val="auto"/>
              </w:rPr>
            </w:pPr>
          </w:p>
        </w:tc>
        <w:tc>
          <w:tcPr>
            <w:tcW w:w="12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2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66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88"/>
              </w:rPr>
              <w:t>US$</w:t>
            </w:r>
          </w:p>
        </w:tc>
        <w:tc>
          <w:tcPr>
            <w:tcW w:w="1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US$</w:t>
            </w:r>
          </w:p>
        </w:tc>
        <w:tc>
          <w:tcPr>
            <w:tcW w:w="16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8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brokerage commission and handling charge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80" w:type="dxa"/>
            <w:vAlign w:val="bottom"/>
            <w:tcBorders>
              <w:right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 interest income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154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8,513</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3"/>
                <w:szCs w:val="23"/>
                <w:color w:val="auto"/>
              </w:rPr>
            </w:pPr>
          </w:p>
        </w:tc>
        <w:tc>
          <w:tcPr>
            <w:tcW w:w="1280" w:type="dxa"/>
            <w:vAlign w:val="bottom"/>
            <w:tcBorders>
              <w:right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Transactions with WIG SPC</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July 2025, WSI subscribed for $1,000,000 Class VI Shares of Z Navigation Option Hedge Fund S.P. at the subscription price of $15 per share. Z Navigation Option Hedge Fund S.P. is a segregated portfolio under WIG SPC and re-appointed WSI as its co-investment manager.</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Due from ST MA Ltd</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April 2023, the Company made a loan in the amount of US$447,000 (approximately HK$3.5 million) to ST MA LTD, a related party as of that time. The loan is unsecured during the period from April 2023 to October 2024, and subsequently is collateralized by securities held in the account of ST MA LTD, bears no interest and is due on demand. ST MA LTD ceased to be a related party in June 2023, because ST MA LTD ceased to be a shareholder of the Company. The amount due from ST MA Ltd was recorded in prepaid expenses and other current assets as of March 31, 2024 and 2025, respectively.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Due to related parties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Pr>
          <w:p>
            <w:pPr>
              <w:spacing w:after="0"/>
              <w:rPr>
                <w:sz w:val="16"/>
                <w:szCs w:val="16"/>
                <w:color w:val="auto"/>
              </w:rPr>
            </w:pPr>
          </w:p>
        </w:tc>
        <w:tc>
          <w:tcPr>
            <w:tcW w:w="156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23"/>
        </w:trPr>
        <w:tc>
          <w:tcPr>
            <w:tcW w:w="44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44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12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4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44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
        </w:trPr>
        <w:tc>
          <w:tcPr>
            <w:tcW w:w="44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90"/>
        </w:trPr>
        <w:tc>
          <w:tcPr>
            <w:tcW w:w="44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Zhou Kai</w:t>
            </w:r>
            <w:r>
              <w:rPr>
                <w:rFonts w:ascii="Times New Roman" w:cs="Times New Roman" w:eastAsia="Times New Roman" w:hAnsi="Times New Roman"/>
                <w:sz w:val="29"/>
                <w:szCs w:val="29"/>
                <w:color w:val="auto"/>
                <w:vertAlign w:val="superscript"/>
              </w:rPr>
              <w:t>(i)</w:t>
            </w: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(12,505)</w:t>
            </w:r>
          </w:p>
        </w:tc>
        <w:tc>
          <w:tcPr>
            <w:tcW w:w="11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31,682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1,830,092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5,276,423</w:t>
            </w:r>
          </w:p>
        </w:tc>
      </w:tr>
      <w:tr>
        <w:trPr>
          <w:trHeight w:val="283"/>
        </w:trPr>
        <w:tc>
          <w:tcPr>
            <w:tcW w:w="44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Shenzhen Jinhui</w:t>
            </w:r>
            <w:r>
              <w:rPr>
                <w:rFonts w:ascii="Times New Roman" w:cs="Times New Roman" w:eastAsia="Times New Roman" w:hAnsi="Times New Roman"/>
                <w:sz w:val="29"/>
                <w:szCs w:val="29"/>
                <w:color w:val="auto"/>
                <w:vertAlign w:val="superscript"/>
              </w:rPr>
              <w:t>(ii)</w:t>
            </w: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(2,528,305)</w:t>
            </w:r>
          </w:p>
        </w:tc>
        <w:tc>
          <w:tcPr>
            <w:tcW w:w="112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w w:val="99"/>
              </w:rPr>
              <w:t>1,766,092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772,040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611,566</w:t>
            </w: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to related parties</w:t>
            </w: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2,540,810</w:t>
            </w:r>
          </w:p>
        </w:tc>
        <w:tc>
          <w:tcPr>
            <w:tcW w:w="112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9"/>
              </w:rPr>
              <w:t>1,797,774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2,602,132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5,887,989</w:t>
            </w:r>
          </w:p>
        </w:tc>
      </w:tr>
      <w:tr>
        <w:trPr>
          <w:trHeight w:val="54"/>
        </w:trPr>
        <w:tc>
          <w:tcPr>
            <w:tcW w:w="440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represents borrowings from Zhou Kai for the Company’s daily operational purposes. The borrowings are interest-free, unsecured and due on demand. During the years ended March 31, 2025, 2024 and 2023, the Company borrowed from Zhou Kai $0.03 million, $1.8 million and $5.3 million, respectively. During the year ended March 31, 2024, the Company disposed certain portion of its other investment to Zhou Kai at a consideration of approximately $2.0 million and the amount was settled with payable with Zhou Kai.</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33"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represents unpaid service fees to Shenzhen Jinhui, a service provider and sub-contractor of the Company’s project management services. Based on the services agreement, Shenzhen Jinhui charges the Company certain percents of markup above its costs relating to service provided to the Company. During the years ended March 31, 2025, 2024 and 2023, the Company purchased outsourcing and related support services of approximately $1.0 million, $0.7 million and $0.6 million, respectively, from Shenzhen Jinhui which were recorded as software licensing and related support outsourcing costs.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were incorporated as a BVI business company under the BVI Companies Act on June 25, 2010. We are authorized to issue an unlimited number of Ordinary Shares of no par value. As of the date of this prospectus, 48,237,472 Ordinary Shares are issued and outstanding. The following are summaries of the material provisions of our Memorandum and Articles of Association; copies of these documents are filed as exhibits to the registration statement of which this prospectus forms a part.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 Certificates (if any) evidencing the shares are issued in registered form. 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 Under the BVI Companies Act, the Ordinary Shares are deemed to be issued when the name of the shareholder is entered in our register of members. If (a) information that is required to be entered in the register of members is omitted from the register or is inaccurately entered in the register, or (b) there is unreasonable delay in entering information in the register, a shareholder of the company, or any person who is aggrieved by the omission, inaccuracy or delay, may apply to the British Virgin Islands Courts for an order that the register be rectified, and the court may either refuse the application or order the rectification of the register, and may direct the company to pay all costs of the application and any damages the applicant may have sustained.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authorized to issue an unlimited number of Ordinary Shares of with no par value. Subject to the provisions of the BVI Companies Act and our articles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Such authority could be exercised by the directors to allot shares which carry rights and privileges that are preferential to the rights attaching to Ordinary Shares. No share may be issued at a discount except in accordance with the provisions of the BVI Companies Act. The directors may refuse to accept any application for shares, and may accept any application in whole or in part, for any reason or for no reason.</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there will be 53,597,191 Ordinary Shares issued and outstanding assuming the sale of all the Ordinary Shares being offered in this offering. Ordinary Shares sold in this offering will be delivered against payment upon the closing of the offering in New York, New York, on or about [•], 2026.</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further information on our share capital and the material provisions of our memorandum and articles of association, please read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that is attached as Exhibit 2.2 to our 2025 Annual Report, which is incorporated by reference into this prospectus.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History of Share Capital</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were incorporated in the British Virgin Islands on June 25, 2010 and we were authorized to issue an unlimited number of ordinary shares with a par value of US$1.00 each at the time of incorporation. We issued 2,830,000 ordinary shares to certain founding shareholder. On April 21, 2022, such shares were acquired by Waton Corporation Limited through multiple transfers. On December 14, 2022, we issued 10,000,000 ordinary shares to Waton Corporation Limited for a consideration of HK$86,917,209.76.</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September 5, 2023, the Company repurchased 4,000,000 ordinary shares held by Waton Corporation Limited for a consideration of US$4,000,000.00. The total number of ordinary shares held by Waton Corporation Limited as of such date was 8,830,000 of par value of US$1.00 each.</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October 12, 2023, our board of directors approved the following:</w:t>
      </w:r>
    </w:p>
    <w:p>
      <w:pPr>
        <w:spacing w:after="0" w:line="117" w:lineRule="exact"/>
        <w:rPr>
          <w:sz w:val="20"/>
          <w:szCs w:val="20"/>
          <w:color w:val="auto"/>
        </w:rPr>
      </w:pPr>
    </w:p>
    <w:p>
      <w:pPr>
        <w:ind w:left="1000" w:right="2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1 ordinary share in the Company to Waton Corporation Limited, after which, there were 8,830,001 ordinary shares of par value of US$1.00 each held by Waton Corporation Limited;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8,830,000 ordinary shares of par value of US$1.00 each held by Waton Corporation Limited for a consideration of US$8,830,000.00, after which, there was 1 ordinary share of par value of US$1.00 each held by Waton Corporation Limited;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8,830 ordinary shares in the Company to Waton Corporation Limited for a consideration of US$8,830,000.00, after which, there were 8,831 ordinary shares of par value of US$1.00 each held by Waton Corporation Limited;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1 ordinary share of par value of US$1.00 each held by Waton Corporation Limited for a consideration of US$1.00, after which, there were 8,830 ordinary shares of par value of US$1.00 each held by Waton Corporation Limited;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Subdivision of each of the issued and unissued shares of par value of US$1.00 each in the Company into 1000 ordinary shares of par value of US$ 0.001 per share.</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March 22, 2024, the Company further repurchased 2,000,000 ordinary shares held by Waton Corporation Limited for a consideration of US$2,000,000.00. The total number of ordinary shares held by Waton Corporation Limited as of such date was 6,830,000 of par value of US$ 0.001 each.</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November 8, 2024, the Company entered into a share subscription agreement with Dynamic Creations Limited (“Dynamic Creations”), being the investor, Waton Corporation Limited, being the holding company of the Company, and Zhou Kai, pursuant to which the Company agreed to issue to Dynamic Creations, subject to satisfaction of certain customary closing conditions, a total of 219,503 Ordinary Shares (1,317,018 Ordinary Shares, as adjusted retroactively to give effect to the share subdivision of the Company, which was initially approved on March 31, 2025) at the issuance price of US$23.43 per share (US$3.91 per share, as adjusted retroactively to give effect to the share subdivision of the Company, which was initially approved on March 31, 2025) for an aggregate cash consideration of HK$ 40,000,000 (equivalent to US$5,142,975, calculated using the HKD/USD conversion rate of 7.7776:1). The share issuance was consummated on November 19, 2024.</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November 18, 2024, upon the vesting and exercise of the restricted share units granted under the Company’s 2024 Global Equity Incentive Plan, 114,743 Ordinary Shares (668,458 Ordinary Shares, as adjusted retroactively to give effect to the share subdivision of the Company, which was initially approved on March 31, 2025) at the issuance price of US$ 0.001 per share for a consideration of US$114.74 and 36,791 Ordinary Shares (220,746 Ordinary Shares, as adjusted retroactively to give effect to the share subdivision of the Company, which was initially approved on March 31, 2025) at the issuance price of US$ 0.001 per share for a consideration of US$36.79, were issued to Mr. Wen Huaxin and Mr. James Beeland Rogers, respectively. As of the date of this prospectus, Mr. Wen has completed the share transfer of 688,458 Ordinary Shares to WATON ESOP PLAN LTD. See “Management — Share Incentive Plan” and “Description of Share Capital — Shareholders Agreement” for details.</w:t>
      </w:r>
    </w:p>
    <w:p>
      <w:pPr>
        <w:spacing w:after="0" w:line="13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December 31, 2024, the directors and shareholders of the Company passed resolutions to approve the followings: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the memorandum and articles of association to change the authorized share capital of the Company from “unlimited number of shares of a single class each with a par value of US$0.001” to “unlimited number of shares of a single class each with no par value”;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all 7,201,037 ordinary shares in issue in the Company from each of the shareholders of the Company as of that date in exchange for the relevant portion of the new ordinary shares of no par value;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in aggregate new 7,201,037 ordinary shares of no par value in the Company to each of the shareholders of the Company as of that date for a consideration equal to the redemption proceeds due to the shareholders of the Company in respect of the redemption shares (being in aggregate US$7,201.5);</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Subdivision of all the issued ordinary shares in the capital of the Company at a ratio of a six-for-one.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relevant share subdivision registry was completed on January 7, 2025.</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a result of the above changes, there were a total of 43,206,222 Ordinary Shares of no par value, with 40,980,000 Ordinary Shares held by Waton Corporation Limited, 1,317,018 Ordinary Shares held by Dynamic Creations Limited, 688,458 Ordinary Shares beneficially owned by Mr. Wen Huaxin, and 220,746 Ordinary Shares held by Mr. James Beeland Rogers Jr.</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April 2025, we issued 4,375,000 Ordinary Shares, together with an additional 656,250 Ordinary Shares pursuant to the full exercise of the over-allotment option granted to the underwriters in connection with the IPO. The offering price was US $4.00 per Ordinary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Pre-IPO Shareholders Agreement</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entered into a shareholders agreement on January 3, 2025 with our shareholders prior the completion of our IPO.</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such shareholders agreement, our pre-IPO shareholders are subject to certain general restrictions on disposal and issue of Ordinary Shares, including, among others, general restriction on security interests where our shareholder may not grant any security interest in or lien upon our securities without first obtaining our board approval.</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shareholders holding Ordinary Shares immediately prior to our IPO (the “Restricted Shares”) are also subject to a mandatory lock-up period that will expire two years from the date of our IPO. No disposal to third parties of Restricted Shares is allowed until the end of the lock-up period.</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shareholders agreement provides for certain shareholders’ rights, including, among others, pre-emptive rights on issue of securities, pre-emptive rights on disposal and drag along rights, and contains provisions governing our board of directors and other corporate governance matters.</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Save for the mandatory lock-up period for the Restricted Shares, the general restrictions on disposal and issue of Ordinary Shares, and shareholders’ rights terminated upon the closing of our IPO.</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Right of First Refusal Granted in Our IPO</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our IPO, we granted the representative of the underwriters in our IPO, Cathay Securities, Inc. (“Cathay”) (or any affiliate designated by Cathay) in the underwriting agreement entered into between the Company and Cathay(the “Underwriting Agreement”), the right to act as the lead managing underwriter, placement agent, exclusive financial advisor or in any other similar capacity, for each and every future public offering for capital raising purposes registered with the SEC, or private financing, including all equity linked financings of the Company, or any successor to the Company for the period beginning on the closing of the IPO and ending 12 months after the closing of the IPO. Such right of first refusal has been terminated by mutual agreement between the Company and Cathay.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a person (or persons whose shares are aggregated) who at the time of a sale is not, and has not been during the three months preceding the sale, an affiliate of ours and has beneficially owned our restricted securities for at least six months is entitled to sell the restricted securities without registration under the Securities Act, subject to the availability of current public information about us, and will be entitled to sell restricted securities beneficially owned for at least one year without restriction. Persons who are our affiliates (including persons beneficially owning 10% or more of our outstanding shares) and have beneficially owned our restricted securities for at least six months may sell within any three-month period a number of restricted securities that does not exceed the greater of the following:</w:t>
      </w:r>
    </w:p>
    <w:p>
      <w:pPr>
        <w:spacing w:after="0" w:line="84" w:lineRule="exact"/>
        <w:rPr>
          <w:sz w:val="20"/>
          <w:szCs w:val="20"/>
          <w:color w:val="auto"/>
        </w:rPr>
      </w:pPr>
    </w:p>
    <w:p>
      <w:pPr>
        <w:jc w:val="both"/>
        <w:ind w:left="1000" w:right="31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of the same class, which will equal approximately 535,972 Ordinary Shares immediately after this offering, assuming the sales of all of the Ordinary Shares we are offering;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of the same class on the Nasdaq Capital Market during the four calendar weeks preceding the date on which notice of the sale on Form 144 is filed with the SEC.</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Such sales are also subject to manner-of-sale provisions, notice requirements and the availability of current public information about us.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Beginning 90 days after we became a reporting company, persons other than affiliates who purchased ordinary shares under a written compensatory plan or other written agreement executed prior to the completion of our IPO may be entitled to sell such shares in the United States in reliance on Rule 701 under the Securities Act, or Rule 701. Rule 701 permits affiliates to sell their Rule 701 shares under Rule 144 without complying with the holding period requirements of Rule 144.</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 if 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Regulation S provides generally that sales made in offshore transactions are not subject to the registration or prospectus-delivery requirements of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is a self-underwritten best-efforts offering. This prospectus is part of a registration statement that permits our officers to sell Ordinary Shares on behalf of the Company directly to the public, with no commission or other remuneration payable to them for any Ordinary Shares that are sold.</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None of our officers will register as a broker-dealer pursuant to Section 15 of the Exchange Act, in reliance upon Rule 3a4-1, which sets forth those conditions under which a person associated with an issuer may participate in the offering of the issuer’s securities and not be deemed to be a broker-dealer.</w:t>
      </w:r>
    </w:p>
    <w:p>
      <w:pPr>
        <w:spacing w:after="0" w:line="68" w:lineRule="exact"/>
        <w:rPr>
          <w:sz w:val="20"/>
          <w:szCs w:val="20"/>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are subject to a statutory disqualification, as that term is defined in Section 3(a)(39) of the Exchange Act, at the time of their participation;</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will be compensated in connection with their participation by the payment of commissions or other remuneration based either directly or indirectly on transactions in securities;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are, nor will any of them be at the time of their participation in the offering, an associated person of a broker-dealer;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meet the conditions of paragraph (a)(4)(ii) of Rule 3a4-1 of the Exchange Act, in that each</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performs, or is intended primarily to perform at the end of the offering, substantial duties for or on behalf of our Company, other than in connection with transactions in securities;</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broker or dealer, or been associated person of a broker or dealer, within the preceding 12 months; and</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participated in selling and offering securities for any issuer more than once every 12 months other than in reliance on paragraphs (a)(4)(i) and (a)(4)(iii).</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There is currently no underwriter or placement agent engaged in connection with this offering. From time to time, we may engage appropriately licensed broker-dealers or other financial intermediaries in non-U.S. jurisdictions, in compliance with applicable laws and regulations, to assist in introducing the offering to potential investors located outside the United States and facilitating communications with such investors. Any such activities will be conducted in accordance with applicable securities laws.</w:t>
      </w:r>
    </w:p>
    <w:p>
      <w:pPr>
        <w:spacing w:after="0" w:line="75"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We will enter into a securities purchase agreement (the “Securities Purchase Agreement”) directly with each investor in connection with this offering and we may not sell the entire amount, or any amount, of securities offered pursuant to this prospectus. The form of the Securities Purchase Agreement is included as an exhibit to the registration statement of which this prospectus forms a part. We have agreed to indemnify the investors against certain losses resulting from our breach of any of our representations, warranties, or covenants under agreements with the purchasers as well as under certain other circumstances described in the Securities Purchase Agreement.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will deliver to the investors the Ordinary Shares upon closing and receipt of investor funds for the purchase of the securities offered pursuant to this prospectus. We intend to complete one closing of this offering, but may undertake one or more additional closings for the sale of additional securities to the investors in the initial closing. We expect to hold an initial closing on [•], 2026, but the offering will be terminated by [•], 2026, provided that the closing(s) of the offering for all of the securities have not occurred by such termination date, which date may be extended by us. Any extensions or material changes to the terms of the offering will be contained in an amendment to this prospectus. We expect initial delivery of up to 5,359,719 Ordinary Shares offered pursuant to this prospectus against payment in U.S. dollars will be made on or about [•], 2026.</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No action may be taken in any jurisdiction other than the United States that would permit a public offering of the Securities or the possession, circulation, or distribution of this prospectus in any jurisdiction where action for that purpose is required. Accordingly, our securities may not be offered or sold, directly or indirectly, and neither the prospectus nor any other offering material or advertisements in connection with our securities may be distributed or published in or from any country or jurisdiction except under circumstances that will result in compliance with any applicable laws, rules, and regulations of any such country or jurisdiction.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EXPENSES RELATING TO THIS OFFERING</w:t>
      </w:r>
    </w:p>
    <w:p>
      <w:pPr>
        <w:spacing w:after="0" w:line="121" w:lineRule="exact"/>
        <w:rPr>
          <w:sz w:val="20"/>
          <w:szCs w:val="20"/>
          <w:color w:val="auto"/>
        </w:rPr>
      </w:pPr>
    </w:p>
    <w:p>
      <w:pPr>
        <w:ind w:left="1300" w:right="1300"/>
        <w:spacing w:after="0" w:line="282" w:lineRule="auto"/>
        <w:rPr>
          <w:sz w:val="20"/>
          <w:szCs w:val="20"/>
          <w:color w:val="auto"/>
        </w:rPr>
      </w:pPr>
      <w:r>
        <w:rPr>
          <w:rFonts w:ascii="Times New Roman" w:cs="Times New Roman" w:eastAsia="Times New Roman" w:hAnsi="Times New Roman"/>
          <w:sz w:val="18"/>
          <w:szCs w:val="18"/>
          <w:color w:val="auto"/>
        </w:rPr>
        <w:t>Set forth below is an itemization of the total expenses that we expect to incur in connection with this offering. With the exception of the SEC registration fee, all amounts are estimates.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300" w:type="dxa"/>
            <w:vAlign w:val="bottom"/>
          </w:tcPr>
          <w:p>
            <w:pPr>
              <w:spacing w:after="0"/>
              <w:rPr>
                <w:sz w:val="24"/>
                <w:szCs w:val="24"/>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5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5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4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980" w:type="dxa"/>
            <w:vAlign w:val="bottom"/>
            <w:gridSpan w:val="2"/>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300" w:type="dxa"/>
            <w:vAlign w:val="bottom"/>
          </w:tcPr>
          <w:p>
            <w:pPr>
              <w:spacing w:after="0"/>
              <w:rPr>
                <w:sz w:val="22"/>
                <w:szCs w:val="22"/>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980" w:type="dxa"/>
            <w:vAlign w:val="bottom"/>
            <w:gridSpan w:val="2"/>
          </w:tcPr>
          <w:p>
            <w:pPr>
              <w:spacing w:after="0"/>
              <w:rPr>
                <w:sz w:val="22"/>
                <w:szCs w:val="22"/>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358,000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 will pay all of our expenses of this offering.</w:t>
            </w: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8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Certain legal matters as to United States federal securities and New York State law in connection with this offering will be passed upon for us by Hunter Taubman Fischer &amp; Li LLC. The validity of the Ordinary Shares offered in this offering and certain other legal matters as to British Virgin Islands law will be passed upon for us by Carey Olsen Singapore LLP, our counsel as to British Virgin Islands law. Certain legal matters as to Cayman Islands law will be passed upon for us by Carey Olsen Singapore LLP. Certain legal matters as to PRC law will be passed upon for us by Global Law Office. Certain legal matters as to Hong Kong law will be passed upon for us by Han Kun Law Offices LLP.</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Waton Financial Limited as of March 31, 2025 and 2024 and for each of the years in the three-year period ended March 31, 2025 incorporated by reference in this prospectus have been audited by UHY LLP, an independent registered public accounting firm, as set forth in their report appearing therein, which contain a paragraph of “Emphasis of Matter” relating to the Company’s significant transactions with related parties, and are included in reliance upon such report, given on the authority of said firm as experts in auditing and accounting. The office of UHY LLP is headquartered in New York, the United States.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REGISTRANT’S CERTIFYING ACCOUNTANT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April 10, 2024, the board of directors received notice of the resignation of MaloneBailey, LLP from its role as the Company’s independent registered public accounting firm to audit the Company’s consolidated financial statements for the fiscal years ended March 31, 2022 and 2023. The board of directors did not take part in MaloneBailey, LLP’s decision to resign. On May 23, 2024, the board of directors approved the engagement of UHY LLP as the Company’s independent registered public accounting firm to audit the consolidated financial statements of the Company for the fiscal years ended March 31, 2023 and 2024.</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MaloneBailey, LLP’s reports on our consolidated financial statements for the fiscal years ended March 31, 2022 and 2023 did not contain an adverse opinion or a disclaimer of opinion and were not qualified or modified as to uncertainty, audit scope, or accounting principles.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Furthermore, during the Company’s fiscal years ended March 31, 2023 and 2024, there were (i) no disagreements with MaloneBailey, LLP on any matter of accounting principles or practices, financial statement disclosure or auditing scope or procedures that, if not resolved to MaloneBailey, LLP’s satisfaction, would have caused MaloneBailey, LLP to make reference to the subject matter of the disagreement in connection with its reports and</w:t>
      </w:r>
    </w:p>
    <w:p>
      <w:pPr>
        <w:spacing w:after="0" w:line="3" w:lineRule="exact"/>
        <w:rPr>
          <w:sz w:val="20"/>
          <w:szCs w:val="20"/>
          <w:color w:val="auto"/>
        </w:rPr>
      </w:pPr>
    </w:p>
    <w:p>
      <w:pPr>
        <w:jc w:val="both"/>
        <w:ind w:left="300" w:right="299" w:hanging="8"/>
        <w:spacing w:after="0" w:line="253" w:lineRule="auto"/>
        <w:tabs>
          <w:tab w:leader="none" w:pos="5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“reportable events” as defined in Item 304(a)(1)(v) of Regulation S-K, except for the material weaknesses related to the lack of sufficient financial reporting and accounting personnel with appropriate knowledge of U.S. GAAP and SEC reporting and compliance requirements to design, implement and operate key controls over financial reporting process in accordance with U.S. GAAP and financial reporting requirements set forth by the SEC.</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engaged UHY LLP as its new independent registered public accounting firm. During the Company’s fiscal years ended March 31, 2023 and 2024, neither the Company nor anyone on its behalf consulted UHY LLP regarding (i) the application of accounting principles to a specified transaction, either completed or proposed, or the type of audit opinion that might be rendered on the consolidated financial statements of the Company, in connection with which neither a written report nor oral advice was provided to the Company that UHY LLP concluded was an important factor considered by the Company in reaching a decision as to the accounting, auditing or financial reporting issue; or (ii) any matter that was either the subject of a disagreement as defined in Item 304(a)(1)(iv) of Regulation S-K or a reportable event as described in Item 304(a)(1)(v) of Regulation S-K.</w:t>
      </w:r>
    </w:p>
    <w:p>
      <w:pPr>
        <w:spacing w:after="0" w:line="8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We have provided MaloneBailey, LLP with a copy of the disclosures made by us in response to Item 304(a) of Regulation S-K under the Exchange Act, and have requested that MaloneBailey, LLP furnish us with a letter addressed to the SEC stating whether it agrees with the statements made by the registrant in response to this Item 304(a) of Regulation S-K under the Exchange Act and, if not, stating the respects in which it does not agree. A letter from MaloneBailey, LLP is filed as Exhibit 16.1 to the registration statement of which this prospectus forms a part.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including relevant exhibits and schedules under the Securities Act with respect to the securities to be sold in this offering. This prospectus, which constitutes a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of the registration statement, does not contain all of the information contained in the registration statement. You should read the registration statement on Form F-1 and its exhibits and schedules for further information with respect to us and the securities.</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As a foreign private issuer, we are exempt under the Exchange Act from, among other things, the rules prescribing the furnishing and content of proxy statements to shareholders, and our executive officers, directors and principal shareholders are exempt from certain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All information filed with the SEC can be inspected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Except as otherwise described in the 2025 Annual Report, in our reports of foreign private issuer on Form 6-K filed or submitted under the Exchange Act and incorporated by reference herein, and as disclosed in this prospectus or the applicable prospectus supplement, no reportable material changes have occurred since March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allowed to incorporate by reference the information we file with the SEC, which means that we can disclose important information to you by referring to those documents. The information incorporated by reference is considered to be part of this prospectus. We incorporate by reference in this prospectus our 2025 Annual Report filed with the SEC on </w:t>
      </w:r>
      <w:hyperlink r:id="rId92">
        <w:r>
          <w:rPr>
            <w:rFonts w:ascii="Times New Roman" w:cs="Times New Roman" w:eastAsia="Times New Roman" w:hAnsi="Times New Roman"/>
            <w:sz w:val="18"/>
            <w:szCs w:val="18"/>
            <w:u w:val="single" w:color="auto"/>
            <w:color w:val="0000EE"/>
          </w:rPr>
          <w:t>July 24,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our Report on Form 6-K filed on </w:t>
      </w:r>
      <w:hyperlink r:id="rId93">
        <w:r>
          <w:rPr>
            <w:rFonts w:ascii="Times New Roman" w:cs="Times New Roman" w:eastAsia="Times New Roman" w:hAnsi="Times New Roman"/>
            <w:sz w:val="18"/>
            <w:szCs w:val="18"/>
            <w:u w:val="single" w:color="auto"/>
            <w:color w:val="0000EE"/>
          </w:rPr>
          <w:t>August 13,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w:t>
      </w:r>
      <w:hyperlink r:id="rId94">
        <w:r>
          <w:rPr>
            <w:rFonts w:ascii="Times New Roman" w:cs="Times New Roman" w:eastAsia="Times New Roman" w:hAnsi="Times New Roman"/>
            <w:sz w:val="18"/>
            <w:szCs w:val="18"/>
            <w:u w:val="single" w:color="auto"/>
            <w:color w:val="0000EE"/>
          </w:rPr>
          <w:t>January 29, 2026</w:t>
        </w:r>
      </w:hyperlink>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information relating to us contained in this prospectus does not purport to be comprehensive and should be read together with the information contained in the documents incorporated or deemed to be incorporated by reference in this prospectus.</w:t>
      </w:r>
    </w:p>
    <w:p>
      <w:pPr>
        <w:spacing w:after="0" w:line="68" w:lineRule="exact"/>
        <w:rPr>
          <w:rFonts w:ascii="Times New Roman" w:cs="Times New Roman" w:eastAsia="Times New Roman" w:hAnsi="Times New Roman"/>
          <w:sz w:val="18"/>
          <w:szCs w:val="18"/>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72" w:lineRule="exact"/>
        <w:rPr>
          <w:rFonts w:ascii="Times New Roman" w:cs="Times New Roman" w:eastAsia="Times New Roman" w:hAnsi="Times New Roman"/>
          <w:sz w:val="18"/>
          <w:szCs w:val="18"/>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10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Waton Financial Limited</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Suites 3605-06, 36th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Tower 6, The Gateway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Harbour City, Tsim Sha Tsui</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Kowloon, Hong Kong</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852 28531838</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 team</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ir@waton.com</w:t>
      </w:r>
    </w:p>
    <w:p>
      <w:pPr>
        <w:spacing w:after="0" w:line="9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7"/>
          <w:szCs w:val="17"/>
          <w:color w:val="auto"/>
        </w:rPr>
        <w:t>You also may access the incorporated reports and other documents referenced above on our website at ir.ftzy.com.cn.</w:t>
      </w:r>
    </w:p>
    <w:p>
      <w:pPr>
        <w:spacing w:after="0" w:line="39" w:lineRule="exact"/>
        <w:rPr>
          <w:rFonts w:ascii="Times New Roman" w:cs="Times New Roman" w:eastAsia="Times New Roman" w:hAnsi="Times New Roman"/>
          <w:sz w:val="18"/>
          <w:szCs w:val="18"/>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information contained on, or that can be accessed through, our website is not part of this prospectus.</w:t>
      </w:r>
    </w:p>
    <w:p>
      <w:pPr>
        <w:spacing w:after="0" w:line="99" w:lineRule="exact"/>
        <w:rPr>
          <w:rFonts w:ascii="Times New Roman" w:cs="Times New Roman" w:eastAsia="Times New Roman" w:hAnsi="Times New Roman"/>
          <w:sz w:val="18"/>
          <w:szCs w:val="18"/>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or such earlier date, that is indicated in this prospectus. Our business, financial condition, results of operations, and prospects may have changed since that date.</w:t>
      </w:r>
    </w:p>
    <w:p>
      <w:pPr>
        <w:spacing w:after="0" w:line="18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UNAUDITED CONDENSED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PAGE(S)</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764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22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 AND MARCH 31, 2025</w:t>
            </w:r>
          </w:p>
        </w:tc>
        <w:tc>
          <w:tcPr>
            <w:tcW w:w="1240" w:type="dxa"/>
            <w:vAlign w:val="bottom"/>
            <w:tcBorders>
              <w:top w:val="single" w:sz="8" w:color="CCEEFF"/>
            </w:tcBorders>
            <w:gridSpan w:val="6"/>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right w:val="single" w:sz="8" w:color="CCEEFF"/>
            </w:tcBorders>
            <w:gridSpan w:val="3"/>
            <w:shd w:val="clear" w:color="auto" w:fill="CCEEFF"/>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5"/>
              </w:rPr>
              <w:t>F-2</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40" w:type="dxa"/>
            <w:vAlign w:val="bottom"/>
            <w:tcBorders>
              <w:bottom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EE"/>
                <w:w w:val="98"/>
              </w:rPr>
              <w:t>UNAUDITED CONDENSED CONSOLIDATED STATEMENTS OF OPERATIONS AND</w:t>
            </w:r>
          </w:p>
        </w:tc>
        <w:tc>
          <w:tcPr>
            <w:tcW w:w="100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COMPREHENSIVE LOSS FOR THE SIX MONTHS ENDED SEPTEMBER 30, 2025 AND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1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2024</w:t>
            </w:r>
          </w:p>
        </w:tc>
        <w:tc>
          <w:tcPr>
            <w:tcW w:w="1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5"/>
              </w:rPr>
              <w:t>F-3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6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20" w:type="dxa"/>
            <w:vAlign w:val="bottom"/>
            <w:gridSpan w:val="3"/>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6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SHAREHOLDERS’ EQUITY FOR THE SIX MONTHS ENDED SEPTEMBER 30, 2025 AND</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160" w:type="dxa"/>
            <w:vAlign w:val="bottom"/>
            <w:gridSpan w:val="3"/>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2024</w:t>
            </w:r>
          </w:p>
        </w:tc>
        <w:tc>
          <w:tcPr>
            <w:tcW w:w="1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5"/>
              </w:rPr>
              <w:t>F-4</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6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SEPTEMBER 30, 2025 AND 2024</w:t>
            </w:r>
          </w:p>
        </w:tc>
        <w:tc>
          <w:tcPr>
            <w:tcW w:w="6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jc w:val="center"/>
              <w:ind w:right="40"/>
              <w:spacing w:after="0" w:line="196" w:lineRule="exact"/>
              <w:rPr>
                <w:sz w:val="20"/>
                <w:szCs w:val="20"/>
                <w:color w:val="auto"/>
              </w:rPr>
            </w:pPr>
            <w:r>
              <w:rPr>
                <w:rFonts w:ascii="Times New Roman" w:cs="Times New Roman" w:eastAsia="Times New Roman" w:hAnsi="Times New Roman"/>
                <w:sz w:val="18"/>
                <w:szCs w:val="18"/>
                <w:color w:val="0000EE"/>
                <w:w w:val="95"/>
              </w:rPr>
              <w:t>F-5</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2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6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2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F-7 - F-21</w:t>
            </w:r>
          </w:p>
        </w:tc>
        <w:tc>
          <w:tcPr>
            <w:tcW w:w="130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2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80" w:type="dxa"/>
            <w:vAlign w:val="bottom"/>
            <w:gridSpan w:val="9"/>
          </w:tcPr>
          <w:p>
            <w:pPr>
              <w:ind w:left="920"/>
              <w:spacing w:after="0"/>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U.S. dollars, except for number of shares)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59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960" w:type="dxa"/>
            <w:vAlign w:val="bottom"/>
          </w:tcPr>
          <w:p>
            <w:pPr>
              <w:spacing w:after="0"/>
              <w:rPr>
                <w:sz w:val="16"/>
                <w:szCs w:val="16"/>
                <w:color w:val="auto"/>
              </w:rPr>
            </w:pP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r>
      <w:tr>
        <w:trPr>
          <w:trHeight w:val="25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left w:val="single" w:sz="8" w:color="CCEEFF"/>
            </w:tcBorders>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$ 14,347,536</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$ 7,717,087</w:t>
            </w: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Cash segregated under regulatory requirements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15,535,468</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6,183,232</w:t>
            </w:r>
          </w:p>
        </w:tc>
        <w:tc>
          <w:tcPr>
            <w:tcW w:w="80" w:type="dxa"/>
            <w:vAlign w:val="bottom"/>
          </w:tcPr>
          <w:p>
            <w:pPr>
              <w:spacing w:after="0"/>
              <w:rPr>
                <w:sz w:val="20"/>
                <w:szCs w:val="20"/>
                <w:color w:val="auto"/>
              </w:rPr>
            </w:pP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w:t>
            </w:r>
          </w:p>
        </w:tc>
        <w:tc>
          <w:tcPr>
            <w:tcW w:w="94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20,238,873</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1,729,408</w:t>
            </w:r>
          </w:p>
        </w:tc>
        <w:tc>
          <w:tcPr>
            <w:tcW w:w="80" w:type="dxa"/>
            <w:vAlign w:val="bottom"/>
          </w:tcPr>
          <w:p>
            <w:pPr>
              <w:spacing w:after="0"/>
              <w:rPr>
                <w:sz w:val="20"/>
                <w:szCs w:val="20"/>
                <w:color w:val="auto"/>
              </w:rPr>
            </w:pPr>
          </w:p>
        </w:tc>
      </w:tr>
      <w:tr>
        <w:trPr>
          <w:trHeight w:val="247"/>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Clients − related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4,826,387</w:t>
            </w: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Broker-dealers and clearing organization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9,220,122</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1,739,276</w:t>
            </w:r>
          </w:p>
        </w:tc>
        <w:tc>
          <w:tcPr>
            <w:tcW w:w="80" w:type="dxa"/>
            <w:vAlign w:val="bottom"/>
          </w:tcPr>
          <w:p>
            <w:pPr>
              <w:spacing w:after="0"/>
              <w:rPr>
                <w:sz w:val="20"/>
                <w:szCs w:val="20"/>
                <w:color w:val="auto"/>
              </w:rPr>
            </w:pPr>
          </w:p>
        </w:tc>
      </w:tr>
      <w:tr>
        <w:trPr>
          <w:trHeight w:val="21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licensing (including subscription based) and related support</w:t>
            </w:r>
          </w:p>
        </w:tc>
        <w:tc>
          <w:tcPr>
            <w:tcW w:w="9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 − related party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230,845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 related party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Due from ST MA Ltd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447,570</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449,877</w:t>
            </w:r>
          </w:p>
        </w:tc>
        <w:tc>
          <w:tcPr>
            <w:tcW w:w="80" w:type="dxa"/>
            <w:vAlign w:val="bottom"/>
          </w:tcPr>
          <w:p>
            <w:pPr>
              <w:spacing w:after="0"/>
              <w:rPr>
                <w:sz w:val="20"/>
                <w:szCs w:val="20"/>
                <w:color w:val="auto"/>
              </w:rPr>
            </w:pP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at net asset value (“NAV”)</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358,536</w:t>
            </w:r>
          </w:p>
        </w:tc>
        <w:tc>
          <w:tcPr>
            <w:tcW w:w="80" w:type="dxa"/>
            <w:vAlign w:val="bottom"/>
            <w:tcBorders>
              <w:lef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at NAV– related party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1,319,774</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893,051</w:t>
            </w:r>
          </w:p>
        </w:tc>
        <w:tc>
          <w:tcPr>
            <w:tcW w:w="80" w:type="dxa"/>
            <w:vAlign w:val="bottom"/>
            <w:shd w:val="clear" w:color="auto" w:fill="CCEEFF"/>
          </w:tcPr>
          <w:p>
            <w:pPr>
              <w:spacing w:after="0"/>
              <w:rPr>
                <w:sz w:val="21"/>
                <w:szCs w:val="21"/>
                <w:color w:val="auto"/>
              </w:rPr>
            </w:pPr>
          </w:p>
        </w:tc>
      </w:tr>
      <w:tr>
        <w:trPr>
          <w:trHeight w:val="31"/>
        </w:trPr>
        <w:tc>
          <w:tcPr>
            <w:tcW w:w="59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64,901,912</w:t>
            </w: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25,338,318</w:t>
            </w:r>
          </w:p>
        </w:tc>
        <w:tc>
          <w:tcPr>
            <w:tcW w:w="80" w:type="dxa"/>
            <w:vAlign w:val="bottom"/>
          </w:tcPr>
          <w:p>
            <w:pPr>
              <w:spacing w:after="0"/>
              <w:rPr>
                <w:sz w:val="21"/>
                <w:szCs w:val="21"/>
                <w:color w:val="auto"/>
              </w:rPr>
            </w:pP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330,162</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123,297</w:t>
            </w: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199,252</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467,016</w:t>
            </w:r>
          </w:p>
        </w:tc>
        <w:tc>
          <w:tcPr>
            <w:tcW w:w="80" w:type="dxa"/>
            <w:vAlign w:val="bottom"/>
          </w:tcPr>
          <w:p>
            <w:pPr>
              <w:spacing w:after="0"/>
              <w:rPr>
                <w:sz w:val="20"/>
                <w:szCs w:val="20"/>
                <w:color w:val="auto"/>
              </w:rPr>
            </w:pP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2,878,575</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2,878,575</w:t>
            </w: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189,932</w:t>
            </w:r>
          </w:p>
        </w:tc>
        <w:tc>
          <w:tcPr>
            <w:tcW w:w="80" w:type="dxa"/>
            <w:vAlign w:val="bottom"/>
          </w:tcPr>
          <w:p>
            <w:pPr>
              <w:spacing w:after="0"/>
              <w:rPr>
                <w:sz w:val="20"/>
                <w:szCs w:val="20"/>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666,186</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1,726,837</w:t>
            </w:r>
          </w:p>
        </w:tc>
        <w:tc>
          <w:tcPr>
            <w:tcW w:w="80" w:type="dxa"/>
            <w:vAlign w:val="bottom"/>
            <w:shd w:val="clear" w:color="auto" w:fill="CCEEFF"/>
          </w:tcPr>
          <w:p>
            <w:pPr>
              <w:spacing w:after="0"/>
              <w:rPr>
                <w:sz w:val="21"/>
                <w:szCs w:val="21"/>
                <w:color w:val="auto"/>
              </w:rPr>
            </w:pPr>
          </w:p>
        </w:tc>
      </w:tr>
      <w:tr>
        <w:trPr>
          <w:trHeight w:val="31"/>
        </w:trPr>
        <w:tc>
          <w:tcPr>
            <w:tcW w:w="59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$ 68,976,087</w:t>
            </w: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30,723,975</w:t>
            </w:r>
          </w:p>
        </w:tc>
        <w:tc>
          <w:tcPr>
            <w:tcW w:w="80" w:type="dxa"/>
            <w:vAlign w:val="bottom"/>
          </w:tcPr>
          <w:p>
            <w:pPr>
              <w:spacing w:after="0"/>
              <w:rPr>
                <w:sz w:val="21"/>
                <w:szCs w:val="21"/>
                <w:color w:val="auto"/>
              </w:rPr>
            </w:pPr>
          </w:p>
        </w:tc>
      </w:tr>
      <w:tr>
        <w:trPr>
          <w:trHeight w:val="20"/>
        </w:trPr>
        <w:tc>
          <w:tcPr>
            <w:tcW w:w="5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40" w:type="dxa"/>
            <w:vAlign w:val="bottom"/>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w:t>
            </w:r>
          </w:p>
        </w:tc>
        <w:tc>
          <w:tcPr>
            <w:tcW w:w="94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$ 23,783,079</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$ 6,163,171</w:t>
            </w:r>
          </w:p>
        </w:tc>
        <w:tc>
          <w:tcPr>
            <w:tcW w:w="80" w:type="dxa"/>
            <w:vAlign w:val="bottom"/>
          </w:tcPr>
          <w:p>
            <w:pPr>
              <w:spacing w:after="0"/>
              <w:rPr>
                <w:sz w:val="20"/>
                <w:szCs w:val="20"/>
                <w:color w:val="auto"/>
              </w:rPr>
            </w:pPr>
          </w:p>
        </w:tc>
      </w:tr>
      <w:tr>
        <w:trPr>
          <w:trHeight w:val="247"/>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Clients − related party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1,417,153</w:t>
            </w: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Broker-dealers and clearing organization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12,327,285</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7,335,535</w:t>
            </w:r>
          </w:p>
        </w:tc>
        <w:tc>
          <w:tcPr>
            <w:tcW w:w="80" w:type="dxa"/>
            <w:vAlign w:val="bottom"/>
          </w:tcPr>
          <w:p>
            <w:pPr>
              <w:spacing w:after="0"/>
              <w:rPr>
                <w:sz w:val="20"/>
                <w:szCs w:val="20"/>
                <w:color w:val="auto"/>
              </w:rPr>
            </w:pP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1,580,583</w:t>
            </w:r>
          </w:p>
        </w:tc>
        <w:tc>
          <w:tcPr>
            <w:tcW w:w="80" w:type="dxa"/>
            <w:vAlign w:val="bottom"/>
            <w:tcBorders>
              <w:lef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801,265</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748,918</w:t>
            </w:r>
          </w:p>
        </w:tc>
        <w:tc>
          <w:tcPr>
            <w:tcW w:w="80" w:type="dxa"/>
            <w:vAlign w:val="bottom"/>
          </w:tcPr>
          <w:p>
            <w:pPr>
              <w:spacing w:after="0"/>
              <w:rPr>
                <w:sz w:val="20"/>
                <w:szCs w:val="20"/>
                <w:color w:val="auto"/>
              </w:rPr>
            </w:pP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2,540,810</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1,797,774</w:t>
            </w:r>
          </w:p>
        </w:tc>
        <w:tc>
          <w:tcPr>
            <w:tcW w:w="80" w:type="dxa"/>
            <w:vAlign w:val="bottom"/>
            <w:shd w:val="clear" w:color="auto" w:fill="CCEEFF"/>
          </w:tcPr>
          <w:p>
            <w:pPr>
              <w:spacing w:after="0"/>
              <w:rPr>
                <w:sz w:val="21"/>
                <w:szCs w:val="21"/>
                <w:color w:val="auto"/>
              </w:rPr>
            </w:pPr>
          </w:p>
        </w:tc>
      </w:tr>
      <w:tr>
        <w:trPr>
          <w:trHeight w:val="25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211,186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463,120</w:t>
            </w:r>
          </w:p>
        </w:tc>
        <w:tc>
          <w:tcPr>
            <w:tcW w:w="80" w:type="dxa"/>
            <w:vAlign w:val="bottom"/>
          </w:tcPr>
          <w:p>
            <w:pPr>
              <w:spacing w:after="0"/>
              <w:rPr>
                <w:sz w:val="21"/>
                <w:szCs w:val="21"/>
                <w:color w:val="auto"/>
              </w:rPr>
            </w:pPr>
          </w:p>
        </w:tc>
      </w:tr>
      <w:tr>
        <w:trPr>
          <w:trHeight w:val="25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41,284,953</w:t>
            </w:r>
          </w:p>
        </w:tc>
        <w:tc>
          <w:tcPr>
            <w:tcW w:w="80" w:type="dxa"/>
            <w:vAlign w:val="bottom"/>
            <w:tcBorders>
              <w:left w:val="single" w:sz="8" w:color="CCEEFF"/>
            </w:tcBorders>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17,925,671</w:t>
            </w:r>
          </w:p>
        </w:tc>
        <w:tc>
          <w:tcPr>
            <w:tcW w:w="80" w:type="dxa"/>
            <w:vAlign w:val="bottom"/>
            <w:shd w:val="clear" w:color="auto" w:fill="CCEEFF"/>
          </w:tcPr>
          <w:p>
            <w:pPr>
              <w:spacing w:after="0"/>
              <w:rPr>
                <w:sz w:val="22"/>
                <w:szCs w:val="22"/>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30,561</w:t>
            </w:r>
          </w:p>
        </w:tc>
        <w:tc>
          <w:tcPr>
            <w:tcW w:w="80" w:type="dxa"/>
            <w:vAlign w:val="bottom"/>
          </w:tcPr>
          <w:p>
            <w:pPr>
              <w:spacing w:after="0"/>
              <w:rPr>
                <w:sz w:val="20"/>
                <w:szCs w:val="20"/>
                <w:color w:val="auto"/>
              </w:rPr>
            </w:pPr>
          </w:p>
        </w:tc>
      </w:tr>
      <w:tr>
        <w:trPr>
          <w:trHeight w:val="31"/>
        </w:trPr>
        <w:tc>
          <w:tcPr>
            <w:tcW w:w="59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41,284,953</w:t>
            </w: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17,956,232</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5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4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unlimited shares authorized; no par value; 48,237,472</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 43,206,222 shares issued and outstanding as of September 30,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and March 31, 2025, respectively</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45,097,848</w:t>
            </w:r>
          </w:p>
        </w:tc>
        <w:tc>
          <w:tcPr>
            <w:tcW w:w="80" w:type="dxa"/>
            <w:vAlign w:val="bottom"/>
            <w:tcBorders>
              <w:left w:val="single" w:sz="8" w:color="CCEEFF"/>
            </w:tcBorders>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21,817,729</w:t>
            </w:r>
          </w:p>
        </w:tc>
        <w:tc>
          <w:tcPr>
            <w:tcW w:w="80" w:type="dxa"/>
            <w:vAlign w:val="bottom"/>
            <w:shd w:val="clear" w:color="auto" w:fill="CCEEFF"/>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(17,473,787)</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(9,107,145)</w:t>
            </w:r>
          </w:p>
        </w:tc>
      </w:tr>
      <w:tr>
        <w:trPr>
          <w:trHeight w:val="254"/>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67,073</w:t>
            </w: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57,159</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57"/>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27,691,134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12,767,743</w:t>
            </w:r>
          </w:p>
        </w:tc>
        <w:tc>
          <w:tcPr>
            <w:tcW w:w="80" w:type="dxa"/>
            <w:vAlign w:val="bottom"/>
          </w:tcPr>
          <w:p>
            <w:pPr>
              <w:spacing w:after="0"/>
              <w:rPr>
                <w:sz w:val="22"/>
                <w:szCs w:val="22"/>
                <w:color w:val="auto"/>
              </w:rPr>
            </w:pPr>
          </w:p>
        </w:tc>
      </w:tr>
      <w:tr>
        <w:trPr>
          <w:trHeight w:val="290"/>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$ 68,976,087</w:t>
            </w:r>
          </w:p>
        </w:tc>
        <w:tc>
          <w:tcPr>
            <w:tcW w:w="80" w:type="dxa"/>
            <w:vAlign w:val="bottom"/>
            <w:tcBorders>
              <w:left w:val="single" w:sz="8" w:color="CCEEFF"/>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30,723,975</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U.S. dollars, except for number of shares)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r>
      <w:tr>
        <w:trPr>
          <w:trHeight w:val="23"/>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6"/>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Brokerage and commission 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2,774,888</w:t>
            </w:r>
          </w:p>
        </w:tc>
        <w:tc>
          <w:tcPr>
            <w:tcW w:w="16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396,547</w:t>
            </w:r>
          </w:p>
        </w:tc>
        <w:tc>
          <w:tcPr>
            <w:tcW w:w="180" w:type="dxa"/>
            <w:vAlign w:val="bottom"/>
          </w:tcPr>
          <w:p>
            <w:pPr>
              <w:spacing w:after="0"/>
              <w:rPr>
                <w:sz w:val="20"/>
                <w:szCs w:val="20"/>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and commission income – related parties</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1,390,497</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892,837</w:t>
            </w:r>
          </w:p>
        </w:tc>
        <w:tc>
          <w:tcPr>
            <w:tcW w:w="180" w:type="dxa"/>
            <w:vAlign w:val="bottom"/>
            <w:tcBorders>
              <w:left w:val="single" w:sz="8" w:color="CCEEFF"/>
            </w:tcBorders>
            <w:shd w:val="clear" w:color="auto" w:fill="CCEEFF"/>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Principal transactions and proprietary trading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507,872</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80" w:type="dxa"/>
            <w:vAlign w:val="bottom"/>
            <w:tcBorders>
              <w:left w:val="single" w:sz="8" w:color="CCEEFF"/>
            </w:tcBorders>
            <w:shd w:val="clear" w:color="auto" w:fill="CCEEFF"/>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 related parties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452,808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520,183</w:t>
            </w:r>
          </w:p>
        </w:tc>
        <w:tc>
          <w:tcPr>
            <w:tcW w:w="180" w:type="dxa"/>
            <w:vAlign w:val="bottom"/>
          </w:tcPr>
          <w:p>
            <w:pPr>
              <w:spacing w:after="0"/>
              <w:rPr>
                <w:sz w:val="20"/>
                <w:szCs w:val="20"/>
                <w:color w:val="auto"/>
              </w:rPr>
            </w:pP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licensing (including subscription based) and related support services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r>
      <w:tr>
        <w:trPr>
          <w:trHeight w:val="248"/>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261,498</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546,134</w:t>
            </w:r>
          </w:p>
        </w:tc>
        <w:tc>
          <w:tcPr>
            <w:tcW w:w="180" w:type="dxa"/>
            <w:vAlign w:val="bottom"/>
            <w:tcBorders>
              <w:left w:val="single" w:sz="8" w:color="CCEEFF"/>
            </w:tcBorders>
            <w:shd w:val="clear" w:color="auto" w:fill="CCEEFF"/>
          </w:tcPr>
          <w:p>
            <w:pPr>
              <w:spacing w:after="0"/>
              <w:rPr>
                <w:sz w:val="21"/>
                <w:szCs w:val="21"/>
                <w:color w:val="auto"/>
              </w:rPr>
            </w:pPr>
          </w:p>
        </w:tc>
      </w:tr>
      <w:tr>
        <w:trPr>
          <w:trHeight w:val="21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licensing (including subscription based) and related support services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8"/>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 related party</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tcPr>
          <w:p>
            <w:pPr>
              <w:spacing w:after="0"/>
              <w:rPr>
                <w:sz w:val="21"/>
                <w:szCs w:val="21"/>
                <w:color w:val="auto"/>
              </w:rPr>
            </w:pPr>
          </w:p>
        </w:tc>
      </w:tr>
      <w:tr>
        <w:trPr>
          <w:trHeight w:val="284"/>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6,102,900</w:t>
            </w:r>
          </w:p>
        </w:tc>
        <w:tc>
          <w:tcPr>
            <w:tcW w:w="160" w:type="dxa"/>
            <w:vAlign w:val="bottom"/>
            <w:tcBorders>
              <w:left w:val="single" w:sz="8" w:color="CCEEFF"/>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2,958,263</w:t>
            </w:r>
          </w:p>
        </w:tc>
        <w:tc>
          <w:tcPr>
            <w:tcW w:w="180" w:type="dxa"/>
            <w:vAlign w:val="bottom"/>
            <w:tcBorders>
              <w:left w:val="single" w:sz="8" w:color="CCEEFF"/>
              <w:bottom w:val="single" w:sz="8" w:color="CCEEFF"/>
            </w:tcBorders>
            <w:shd w:val="clear" w:color="auto" w:fill="CCEEFF"/>
          </w:tcPr>
          <w:p>
            <w:pPr>
              <w:spacing w:after="0"/>
              <w:rPr>
                <w:sz w:val="24"/>
                <w:szCs w:val="24"/>
                <w:color w:val="auto"/>
              </w:rPr>
            </w:pPr>
          </w:p>
        </w:tc>
      </w:tr>
      <w:tr>
        <w:trPr>
          <w:trHeight w:val="26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and brokerage fees</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1,639,072</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172,712</w:t>
            </w:r>
          </w:p>
        </w:tc>
        <w:tc>
          <w:tcPr>
            <w:tcW w:w="180" w:type="dxa"/>
            <w:vAlign w:val="bottom"/>
            <w:tcBorders>
              <w:left w:val="single" w:sz="8" w:color="CCEEFF"/>
            </w:tcBorders>
            <w:shd w:val="clear" w:color="auto" w:fill="CCEEFF"/>
          </w:tcPr>
          <w:p>
            <w:pPr>
              <w:spacing w:after="0"/>
              <w:rPr>
                <w:sz w:val="21"/>
                <w:szCs w:val="21"/>
                <w:color w:val="auto"/>
              </w:rPr>
            </w:pPr>
          </w:p>
        </w:tc>
      </w:tr>
      <w:tr>
        <w:trPr>
          <w:trHeight w:val="21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licensing (including subscription based) and related support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outsourcing cost – related party</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487,860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507,822</w:t>
            </w:r>
          </w:p>
        </w:tc>
        <w:tc>
          <w:tcPr>
            <w:tcW w:w="180" w:type="dxa"/>
            <w:vAlign w:val="bottom"/>
          </w:tcPr>
          <w:p>
            <w:pPr>
              <w:spacing w:after="0"/>
              <w:rPr>
                <w:sz w:val="20"/>
                <w:szCs w:val="20"/>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353,587</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85,657</w:t>
            </w:r>
          </w:p>
        </w:tc>
        <w:tc>
          <w:tcPr>
            <w:tcW w:w="180" w:type="dxa"/>
            <w:vAlign w:val="bottom"/>
            <w:tcBorders>
              <w:left w:val="single" w:sz="8" w:color="CCEEFF"/>
            </w:tcBorders>
            <w:shd w:val="clear" w:color="auto" w:fill="CCEEFF"/>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2,123,489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1,471,937</w:t>
            </w:r>
          </w:p>
        </w:tc>
        <w:tc>
          <w:tcPr>
            <w:tcW w:w="180" w:type="dxa"/>
            <w:vAlign w:val="bottom"/>
          </w:tcPr>
          <w:p>
            <w:pPr>
              <w:spacing w:after="0"/>
              <w:rPr>
                <w:sz w:val="20"/>
                <w:szCs w:val="20"/>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6,104,672</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1,011,754</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771,165</w:t>
            </w:r>
          </w:p>
        </w:tc>
        <w:tc>
          <w:tcPr>
            <w:tcW w:w="180" w:type="dxa"/>
            <w:vAlign w:val="bottom"/>
            <w:tcBorders>
              <w:left w:val="single" w:sz="8" w:color="CCEEFF"/>
            </w:tcBorders>
            <w:shd w:val="clear" w:color="auto" w:fill="CCEEFF"/>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Market information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412,158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332,094</w:t>
            </w:r>
          </w:p>
        </w:tc>
        <w:tc>
          <w:tcPr>
            <w:tcW w:w="180" w:type="dxa"/>
            <w:vAlign w:val="bottom"/>
          </w:tcPr>
          <w:p>
            <w:pPr>
              <w:spacing w:after="0"/>
              <w:rPr>
                <w:sz w:val="20"/>
                <w:szCs w:val="20"/>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costs</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325,960</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315,013</w:t>
            </w:r>
          </w:p>
        </w:tc>
        <w:tc>
          <w:tcPr>
            <w:tcW w:w="180" w:type="dxa"/>
            <w:vAlign w:val="bottom"/>
            <w:tcBorders>
              <w:left w:val="single" w:sz="8" w:color="CCEEFF"/>
            </w:tcBorders>
            <w:shd w:val="clear" w:color="auto" w:fill="CCEEFF"/>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967,079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224,117</w:t>
            </w:r>
          </w:p>
        </w:tc>
        <w:tc>
          <w:tcPr>
            <w:tcW w:w="180" w:type="dxa"/>
            <w:vAlign w:val="bottom"/>
          </w:tcPr>
          <w:p>
            <w:pPr>
              <w:spacing w:after="0"/>
              <w:rPr>
                <w:sz w:val="20"/>
                <w:szCs w:val="20"/>
                <w:color w:val="auto"/>
              </w:rPr>
            </w:pPr>
          </w:p>
        </w:tc>
      </w:tr>
      <w:tr>
        <w:trPr>
          <w:trHeight w:val="31"/>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13,813,056</w:t>
            </w:r>
          </w:p>
        </w:tc>
        <w:tc>
          <w:tcPr>
            <w:tcW w:w="160" w:type="dxa"/>
            <w:vAlign w:val="bottom"/>
            <w:tcBorders>
              <w:left w:val="single" w:sz="8" w:color="CCEEFF"/>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3,880,517</w:t>
            </w:r>
          </w:p>
        </w:tc>
        <w:tc>
          <w:tcPr>
            <w:tcW w:w="180" w:type="dxa"/>
            <w:vAlign w:val="bottom"/>
            <w:tcBorders>
              <w:left w:val="single" w:sz="8" w:color="CCEEFF"/>
              <w:bottom w:val="single" w:sz="8" w:color="CCEEFF"/>
            </w:tcBorders>
            <w:shd w:val="clear" w:color="auto" w:fill="CCEEFF"/>
          </w:tcPr>
          <w:p>
            <w:pPr>
              <w:spacing w:after="0"/>
              <w:rPr>
                <w:sz w:val="24"/>
                <w:szCs w:val="24"/>
                <w:color w:val="auto"/>
              </w:rPr>
            </w:pPr>
          </w:p>
        </w:tc>
      </w:tr>
      <w:tr>
        <w:trPr>
          <w:trHeight w:val="26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(7,710,156)</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(922,254)</w:t>
            </w:r>
          </w:p>
        </w:tc>
        <w:tc>
          <w:tcPr>
            <w:tcW w:w="180" w:type="dxa"/>
            <w:vAlign w:val="bottom"/>
          </w:tcPr>
          <w:p>
            <w:pPr>
              <w:spacing w:after="0"/>
              <w:rPr>
                <w:sz w:val="22"/>
                <w:szCs w:val="2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foreign currency spread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180,236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180" w:type="dxa"/>
            <w:vAlign w:val="bottom"/>
          </w:tcPr>
          <w:p>
            <w:pPr>
              <w:spacing w:after="0"/>
              <w:rPr>
                <w:sz w:val="20"/>
                <w:szCs w:val="20"/>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(31,603)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(341,428)</w:t>
            </w:r>
          </w:p>
        </w:tc>
        <w:tc>
          <w:tcPr>
            <w:tcW w:w="180" w:type="dxa"/>
            <w:vAlign w:val="bottom"/>
            <w:tcBorders>
              <w:left w:val="single" w:sz="8" w:color="CCEEFF"/>
            </w:tcBorders>
            <w:shd w:val="clear" w:color="auto" w:fill="CCEEFF"/>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Changes in NAV of investment securities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(741,482)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(63,637)</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r>
      <w:tr>
        <w:trPr>
          <w:trHeight w:val="27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 (loss)</w:t>
            </w:r>
          </w:p>
        </w:tc>
        <w:tc>
          <w:tcPr>
            <w:tcW w:w="1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(656,486)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(303,139)</w:t>
            </w:r>
          </w:p>
        </w:tc>
        <w:tc>
          <w:tcPr>
            <w:tcW w:w="180" w:type="dxa"/>
            <w:vAlign w:val="bottom"/>
          </w:tcPr>
          <w:p>
            <w:pPr>
              <w:spacing w:after="0"/>
              <w:rPr>
                <w:sz w:val="23"/>
                <w:szCs w:val="23"/>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(8,366,642)</w:t>
            </w:r>
          </w:p>
        </w:tc>
        <w:tc>
          <w:tcPr>
            <w:tcW w:w="160" w:type="dxa"/>
            <w:vAlign w:val="bottom"/>
            <w:tcBorders>
              <w:lef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(1,225,393)</w:t>
            </w:r>
          </w:p>
        </w:tc>
        <w:tc>
          <w:tcPr>
            <w:tcW w:w="180" w:type="dxa"/>
            <w:vAlign w:val="bottom"/>
            <w:tcBorders>
              <w:left w:val="single" w:sz="8" w:color="CCEEFF"/>
            </w:tcBorders>
            <w:shd w:val="clear" w:color="auto" w:fill="CCEEFF"/>
          </w:tcPr>
          <w:p>
            <w:pPr>
              <w:spacing w:after="0"/>
              <w:rPr>
                <w:sz w:val="24"/>
                <w:szCs w:val="24"/>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77,138</w:t>
            </w:r>
          </w:p>
        </w:tc>
        <w:tc>
          <w:tcPr>
            <w:tcW w:w="180" w:type="dxa"/>
            <w:vAlign w:val="bottom"/>
          </w:tcPr>
          <w:p>
            <w:pPr>
              <w:spacing w:after="0"/>
              <w:rPr>
                <w:sz w:val="20"/>
                <w:szCs w:val="20"/>
                <w:color w:val="auto"/>
              </w:rPr>
            </w:pPr>
          </w:p>
        </w:tc>
      </w:tr>
      <w:tr>
        <w:trPr>
          <w:trHeight w:val="31"/>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9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(8,366,642)</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(1,148,255)</w:t>
            </w:r>
          </w:p>
        </w:tc>
      </w:tr>
      <w:tr>
        <w:trPr>
          <w:trHeight w:val="270"/>
        </w:trPr>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70"/>
        </w:trPr>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r>
      <w:tr>
        <w:trPr>
          <w:trHeight w:val="25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48,209,979</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40,980,000</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r>
      <w:tr>
        <w:trPr>
          <w:trHeight w:val="26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(8,366,642)</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(1,148,255)</w:t>
            </w: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r>
      <w:tr>
        <w:trPr>
          <w:trHeight w:val="25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68,477</w:t>
            </w:r>
          </w:p>
        </w:tc>
        <w:tc>
          <w:tcPr>
            <w:tcW w:w="180" w:type="dxa"/>
            <w:vAlign w:val="bottom"/>
          </w:tcPr>
          <w:p>
            <w:pPr>
              <w:spacing w:after="0"/>
              <w:rPr>
                <w:sz w:val="21"/>
                <w:szCs w:val="21"/>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(8,356,728)</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(1,079,778)</w:t>
            </w: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U.S. dollars, except for number of shares)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720" w:type="dxa"/>
            <w:vAlign w:val="bottom"/>
            <w:vMerge w:val="restart"/>
          </w:tcPr>
          <w:p>
            <w:pPr>
              <w:jc w:val="center"/>
              <w:ind w:right="4"/>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vMerge w:val="restart"/>
          </w:tcPr>
          <w:p>
            <w:pPr>
              <w:spacing w:after="0"/>
              <w:rPr>
                <w:sz w:val="5"/>
                <w:szCs w:val="5"/>
                <w:color w:val="auto"/>
              </w:rPr>
            </w:pPr>
          </w:p>
        </w:tc>
        <w:tc>
          <w:tcPr>
            <w:tcW w:w="90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1180" w:type="dxa"/>
            <w:vAlign w:val="bottom"/>
            <w:gridSpan w:val="4"/>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vMerge w:val="restart"/>
          </w:tcPr>
          <w:p>
            <w:pPr>
              <w:spacing w:after="0"/>
              <w:rPr>
                <w:sz w:val="5"/>
                <w:szCs w:val="5"/>
                <w:color w:val="auto"/>
              </w:rPr>
            </w:pPr>
          </w:p>
        </w:tc>
        <w:tc>
          <w:tcPr>
            <w:tcW w:w="86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6"/>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8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April 1, 2025</w:t>
            </w: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43,206,222</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$21,817,729</w:t>
            </w:r>
          </w:p>
        </w:tc>
        <w:tc>
          <w:tcPr>
            <w:tcW w:w="10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(9,107,145)</w:t>
            </w:r>
          </w:p>
        </w:tc>
        <w:tc>
          <w:tcPr>
            <w:tcW w:w="100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$57,159</w:t>
            </w: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$12,767,743</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ordinary shares in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connection with initial public</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offering, net of underwriting</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discounts and offering costs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5,031,250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17,175,447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17,175,447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6,104,672</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6,104,672</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(8,366,642)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(8,366,642)</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w:t>
            </w:r>
          </w:p>
        </w:tc>
        <w:tc>
          <w:tcPr>
            <w:tcW w:w="240" w:type="dxa"/>
            <w:vAlign w:val="bottom"/>
            <w:tcBorders>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0" w:type="dxa"/>
            <w:vAlign w:val="bottom"/>
          </w:tcPr>
          <w:p>
            <w:pPr>
              <w:spacing w:after="0"/>
              <w:rPr>
                <w:sz w:val="1"/>
                <w:szCs w:val="1"/>
                <w:color w:val="auto"/>
              </w:rPr>
            </w:pPr>
          </w:p>
        </w:tc>
      </w:tr>
      <w:tr>
        <w:trPr>
          <w:trHeight w:val="37"/>
        </w:trPr>
        <w:tc>
          <w:tcPr>
            <w:tcW w:w="2500" w:type="dxa"/>
            <w:vAlign w:val="bottom"/>
            <w:shd w:val="clear" w:color="auto" w:fill="CCEEFF"/>
          </w:tcPr>
          <w:p>
            <w:pPr>
              <w:spacing w:after="0"/>
              <w:rPr>
                <w:sz w:val="3"/>
                <w:szCs w:val="3"/>
                <w:color w:val="auto"/>
              </w:rPr>
            </w:pPr>
          </w:p>
        </w:tc>
        <w:tc>
          <w:tcPr>
            <w:tcW w:w="240" w:type="dxa"/>
            <w:vAlign w:val="bottom"/>
            <w:tcBorders>
              <w:right w:val="single" w:sz="8" w:color="auto"/>
            </w:tcBorders>
            <w:shd w:val="clear" w:color="auto" w:fill="CCEEFF"/>
          </w:tcPr>
          <w:p>
            <w:pPr>
              <w:spacing w:after="0"/>
              <w:rPr>
                <w:sz w:val="3"/>
                <w:szCs w:val="3"/>
                <w:color w:val="auto"/>
              </w:rPr>
            </w:pPr>
          </w:p>
        </w:tc>
        <w:tc>
          <w:tcPr>
            <w:tcW w:w="72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auto"/>
            </w:tcBorders>
            <w:shd w:val="clear" w:color="auto" w:fill="CCEEFF"/>
          </w:tcPr>
          <w:p>
            <w:pPr>
              <w:spacing w:after="0"/>
              <w:rPr>
                <w:sz w:val="3"/>
                <w:szCs w:val="3"/>
                <w:color w:val="auto"/>
              </w:rPr>
            </w:pPr>
          </w:p>
        </w:tc>
        <w:tc>
          <w:tcPr>
            <w:tcW w:w="240" w:type="dxa"/>
            <w:vAlign w:val="bottom"/>
            <w:tcBorders>
              <w:right w:val="single" w:sz="8" w:color="CCEEFF"/>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60" w:type="dxa"/>
            <w:vAlign w:val="bottom"/>
            <w:tcBorders>
              <w:right w:val="single" w:sz="8" w:color="auto"/>
            </w:tcBorders>
            <w:shd w:val="clear" w:color="auto" w:fill="CCEEFF"/>
          </w:tcPr>
          <w:p>
            <w:pPr>
              <w:spacing w:after="0"/>
              <w:rPr>
                <w:sz w:val="3"/>
                <w:szCs w:val="3"/>
                <w:color w:val="auto"/>
              </w:rPr>
            </w:pPr>
          </w:p>
        </w:tc>
        <w:tc>
          <w:tcPr>
            <w:tcW w:w="90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520" w:type="dxa"/>
            <w:vAlign w:val="bottom"/>
            <w:tcBorders>
              <w:right w:val="single" w:sz="8" w:color="auto"/>
            </w:tcBorders>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60" w:type="dxa"/>
            <w:vAlign w:val="bottom"/>
            <w:tcBorders>
              <w:right w:val="single" w:sz="8" w:color="CCEEFF"/>
            </w:tcBorders>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48,237,472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45,097,848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(17,473,787)</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67,073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27,691,134</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00" w:type="dxa"/>
            <w:vAlign w:val="bottom"/>
            <w:gridSpan w:val="3"/>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7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90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restart"/>
          </w:tcPr>
          <w:p>
            <w:pPr>
              <w:jc w:val="center"/>
              <w:ind w:right="6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5"/>
                <w:szCs w:val="5"/>
                <w:color w:val="auto"/>
              </w:rPr>
            </w:pPr>
          </w:p>
        </w:tc>
        <w:tc>
          <w:tcPr>
            <w:tcW w:w="86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6"/>
        </w:trPr>
        <w:tc>
          <w:tcPr>
            <w:tcW w:w="2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Pr>
          <w:p>
            <w:pPr>
              <w:spacing w:after="0"/>
              <w:rPr>
                <w:sz w:val="3"/>
                <w:szCs w:val="3"/>
                <w:color w:val="auto"/>
              </w:rPr>
            </w:pPr>
          </w:p>
        </w:tc>
        <w:tc>
          <w:tcPr>
            <w:tcW w:w="5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April 1, 2024</w:t>
            </w: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40,980,000</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1"/>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$7,908,000</w:t>
            </w:r>
          </w:p>
        </w:tc>
        <w:tc>
          <w:tcPr>
            <w:tcW w:w="1060" w:type="dxa"/>
            <w:vAlign w:val="bottom"/>
            <w:tcBorders>
              <w:bottom w:val="single" w:sz="8" w:color="CCEEFF"/>
              <w:right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$ 2,860,360</w:t>
            </w:r>
          </w:p>
        </w:tc>
        <w:tc>
          <w:tcPr>
            <w:tcW w:w="130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$(26,307)</w:t>
            </w:r>
          </w:p>
        </w:tc>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$10,742,053</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(1,148,255)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(1,148,255)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w:t>
            </w:r>
          </w:p>
        </w:tc>
        <w:tc>
          <w:tcPr>
            <w:tcW w:w="24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68,477</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68,477</w:t>
            </w:r>
          </w:p>
        </w:tc>
        <w:tc>
          <w:tcPr>
            <w:tcW w:w="0" w:type="dxa"/>
            <w:vAlign w:val="bottom"/>
          </w:tcPr>
          <w:p>
            <w:pPr>
              <w:spacing w:after="0"/>
              <w:rPr>
                <w:sz w:val="1"/>
                <w:szCs w:val="1"/>
                <w:color w:val="auto"/>
              </w:rPr>
            </w:pPr>
          </w:p>
        </w:tc>
      </w:tr>
      <w:tr>
        <w:trPr>
          <w:trHeight w:val="37"/>
        </w:trPr>
        <w:tc>
          <w:tcPr>
            <w:tcW w:w="25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72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90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tcBorders>
              <w:right w:val="single" w:sz="8" w:color="auto"/>
            </w:tcBorders>
            <w:shd w:val="clear" w:color="auto" w:fill="CCEEFF"/>
          </w:tcPr>
          <w:p>
            <w:pPr>
              <w:spacing w:after="0"/>
              <w:rPr>
                <w:sz w:val="3"/>
                <w:szCs w:val="3"/>
                <w:color w:val="auto"/>
              </w:rPr>
            </w:pPr>
          </w:p>
        </w:tc>
        <w:tc>
          <w:tcPr>
            <w:tcW w:w="520" w:type="dxa"/>
            <w:vAlign w:val="bottom"/>
            <w:tcBorders>
              <w:right w:val="single" w:sz="8" w:color="CCEEFF"/>
            </w:tcBorders>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60" w:type="dxa"/>
            <w:vAlign w:val="bottom"/>
            <w:tcBorders>
              <w:right w:val="single" w:sz="8" w:color="CCEEFF"/>
            </w:tcBorders>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40,980,000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1"/>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7,908,000</w:t>
            </w:r>
          </w:p>
        </w:tc>
        <w:tc>
          <w:tcPr>
            <w:tcW w:w="10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$ 1,712,105</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$ 42,170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$ 9,662,275</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U.S. dollars, except for number of shares)</w:t>
      </w:r>
    </w:p>
    <w:p>
      <w:pPr>
        <w:spacing w:after="0" w:line="21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22225</wp:posOffset>
            </wp:positionV>
            <wp:extent cx="15601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(8,366,642)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(1,148,255)</w:t>
            </w:r>
          </w:p>
        </w:tc>
      </w:tr>
      <w:tr>
        <w:trPr>
          <w:trHeight w:val="21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r>
      <w:tr>
        <w:trPr>
          <w:trHeight w:val="252"/>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55,067</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267,701</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252,730</w:t>
            </w: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6,104,672</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NAV of investment securities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741,482</w:t>
            </w:r>
          </w:p>
        </w:tc>
        <w:tc>
          <w:tcPr>
            <w:tcW w:w="4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341,428</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(77,138)</w:t>
            </w:r>
          </w:p>
        </w:tc>
      </w:t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clients, including related parties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(13,686,266)</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9,159,102</w:t>
            </w: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broker-dealers and clearing organization</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(7,480,846)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(1,004,214)</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software licensing and related support services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30,839</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(260,370)</w:t>
            </w:r>
          </w:p>
        </w:tc>
      </w:tr>
      <w:tr>
        <w:trPr>
          <w:trHeight w:val="21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and contract assets from software licensing and related support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including related parties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(661,684)</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(266,110)</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(901,037)</w:t>
            </w: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217,523</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clients, including related parties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16,243,500</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(9,143,454)</w:t>
            </w: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Payables to broker-dealers and clearing organization</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4,991,750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24,677</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52,348</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(304,038)</w:t>
            </w: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507,822</w:t>
            </w: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(282,432)</w:t>
            </w:r>
          </w:p>
        </w:tc>
        <w:tc>
          <w:tcPr>
            <w:tcW w:w="4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(267,405)</w:t>
            </w:r>
          </w:p>
        </w:tc>
      </w:tr>
      <w:tr>
        <w:trPr>
          <w:trHeight w:val="31"/>
        </w:trPr>
        <w:tc>
          <w:tcPr>
            <w:tcW w:w="5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r>
      <w:tr>
        <w:trPr>
          <w:trHeight w:val="27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(1,444,659)</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(2,547,562)</w:t>
            </w:r>
          </w:p>
        </w:tc>
      </w:tr>
      <w:tr>
        <w:trPr>
          <w:trHeight w:val="27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tcBorders>
              <w:top w:val="single" w:sz="8" w:color="auto"/>
              <w:right w:val="single" w:sz="8" w:color="CCEEFF"/>
            </w:tcBorders>
            <w:shd w:val="clear" w:color="auto" w:fill="CCEEFF"/>
          </w:tcPr>
          <w:p>
            <w:pPr>
              <w:spacing w:after="0"/>
              <w:rPr>
                <w:sz w:val="24"/>
                <w:szCs w:val="24"/>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(7,081)</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 securities, at NAV, including related party</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4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(2,378,515)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(7,081)</w:t>
            </w:r>
          </w:p>
        </w:tc>
      </w:tr>
      <w:tr>
        <w:trPr>
          <w:trHeight w:val="27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right w:val="single" w:sz="8" w:color="CCEEFF"/>
            </w:tcBorders>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tcBorders>
              <w:top w:val="single" w:sz="8" w:color="auto"/>
              <w:right w:val="single" w:sz="8" w:color="CCEEFF"/>
            </w:tcBorders>
            <w:shd w:val="clear" w:color="auto" w:fill="CCEEFF"/>
          </w:tcPr>
          <w:p>
            <w:pPr>
              <w:spacing w:after="0"/>
              <w:rPr>
                <w:sz w:val="23"/>
                <w:szCs w:val="23"/>
                <w:color w:val="auto"/>
              </w:rPr>
            </w:pP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bank overdrafts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1,580,583</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 from a related party</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r>
      <w:tr>
        <w:trPr>
          <w:trHeight w:val="23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Payment for deferred offering costs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(96,484)</w:t>
            </w:r>
          </w:p>
        </w:tc>
      </w:tr>
      <w:tr>
        <w:trPr>
          <w:trHeight w:val="24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18,515,000</w:t>
            </w:r>
          </w:p>
        </w:tc>
        <w:tc>
          <w:tcPr>
            <w:tcW w:w="4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 for finance lease</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46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7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19,794,171</w:t>
            </w:r>
          </w:p>
        </w:tc>
        <w:tc>
          <w:tcPr>
            <w:tcW w:w="46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(1,898,520)</w:t>
            </w:r>
          </w:p>
        </w:tc>
      </w:tr>
      <w:tr>
        <w:trPr>
          <w:trHeight w:val="263"/>
        </w:trPr>
        <w:tc>
          <w:tcPr>
            <w:tcW w:w="5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460" w:type="dxa"/>
            <w:vAlign w:val="bottom"/>
            <w:tcBorders>
              <w:top w:val="single" w:sz="8" w:color="CCEEFF"/>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48,549</w:t>
            </w:r>
          </w:p>
        </w:tc>
      </w:tr>
      <w:tr>
        <w:trPr>
          <w:trHeight w:val="21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cash segregated under</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r>
      <w:tr>
        <w:trPr>
          <w:trHeight w:val="248"/>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regulatory requirements</w:t>
            </w: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15,982,685</w:t>
            </w: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(4,404,614)</w:t>
            </w:r>
          </w:p>
        </w:tc>
      </w:tr>
      <w:tr>
        <w:trPr>
          <w:trHeight w:val="21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cash segregated under regulatory requirements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8"/>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the beginning of the period</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13,900,319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10,652,186</w:t>
            </w:r>
          </w:p>
        </w:tc>
      </w:tr>
      <w:tr>
        <w:trPr>
          <w:trHeight w:val="241"/>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cash segregated for regulatory</w:t>
            </w: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79"/>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requirements at the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29,883,004</w:t>
            </w:r>
          </w:p>
        </w:tc>
        <w:tc>
          <w:tcPr>
            <w:tcW w:w="4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$ 6,247,572</w:t>
            </w: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tbl>
      <w:tblPr>
        <w:tblLayout w:type="fixed"/>
        <w:tblInd w:w="300" w:type="dxa"/>
        <w:tblCellMar>
          <w:top w:w="0" w:type="dxa"/>
          <w:left w:w="0" w:type="dxa"/>
          <w:bottom w:w="0" w:type="dxa"/>
          <w:right w:w="0" w:type="dxa"/>
        </w:tblCellMar>
      </w:tblPr>
      <w:tr>
        <w:trPr>
          <w:trHeight w:val="161"/>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15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6"/>
        </w:trPr>
        <w:tc>
          <w:tcPr>
            <w:tcW w:w="15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70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cash, cash equivalents and cash segregated under regulatory requirements</w:t>
            </w:r>
          </w:p>
        </w:tc>
        <w:tc>
          <w:tcPr>
            <w:tcW w:w="5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$14,347,536</w:t>
            </w:r>
          </w:p>
        </w:tc>
        <w:tc>
          <w:tcPr>
            <w:tcW w:w="13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$3,053,691</w:t>
            </w:r>
          </w:p>
        </w:tc>
      </w:tr>
      <w:tr>
        <w:trPr>
          <w:trHeight w:val="266"/>
        </w:trPr>
        <w:tc>
          <w:tcPr>
            <w:tcW w:w="61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segregated under regulatory requirements</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15,535,468</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3,193,881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8"/>
        </w:trPr>
        <w:tc>
          <w:tcPr>
            <w:tcW w:w="6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cash segregated under regulatory</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38"/>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requirements at the end of period</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29,883,004</w:t>
            </w:r>
          </w:p>
        </w:tc>
        <w:tc>
          <w:tcPr>
            <w:tcW w:w="1380" w:type="dxa"/>
            <w:vAlign w:val="bottom"/>
            <w:gridSpan w:val="4"/>
          </w:tcPr>
          <w:p>
            <w:pPr>
              <w:ind w:left="5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6,247,572</w:t>
            </w:r>
          </w:p>
        </w:tc>
      </w:tr>
      <w:tr>
        <w:trPr>
          <w:trHeight w:val="20"/>
        </w:trPr>
        <w:tc>
          <w:tcPr>
            <w:tcW w:w="15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6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shd w:val="clear" w:color="auto" w:fill="CCEEFF"/>
          </w:tcPr>
          <w:p>
            <w:pPr>
              <w:spacing w:after="0"/>
              <w:rPr>
                <w:sz w:val="24"/>
                <w:szCs w:val="24"/>
                <w:color w:val="auto"/>
              </w:rPr>
            </w:pPr>
          </w:p>
        </w:tc>
        <w:tc>
          <w:tcPr>
            <w:tcW w:w="800" w:type="dxa"/>
            <w:vAlign w:val="bottom"/>
            <w:tcBorders>
              <w:right w:val="single" w:sz="8" w:color="CCEEFF"/>
            </w:tcBorders>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3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332,373</w:t>
            </w:r>
          </w:p>
        </w:tc>
        <w:tc>
          <w:tcPr>
            <w:tcW w:w="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60,051</w:t>
            </w:r>
          </w:p>
        </w:tc>
        <w:tc>
          <w:tcPr>
            <w:tcW w:w="80" w:type="dxa"/>
            <w:vAlign w:val="bottom"/>
            <w:shd w:val="clear" w:color="auto" w:fill="CCEEFF"/>
          </w:tcPr>
          <w:p>
            <w:pPr>
              <w:spacing w:after="0"/>
              <w:rPr>
                <w:sz w:val="21"/>
                <w:szCs w:val="21"/>
                <w:color w:val="auto"/>
              </w:rPr>
            </w:pPr>
          </w:p>
        </w:tc>
      </w:tr>
      <w:tr>
        <w:trPr>
          <w:trHeight w:val="243"/>
        </w:trPr>
        <w:tc>
          <w:tcPr>
            <w:tcW w:w="154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deferred offering costs offset against accrued expenses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1,341,321​</w:t>
            </w:r>
          </w:p>
        </w:tc>
        <w:tc>
          <w:tcPr>
            <w:tcW w:w="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from disposal of equity method investment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899,639</w:t>
            </w:r>
          </w:p>
        </w:tc>
        <w:tc>
          <w:tcPr>
            <w:tcW w:w="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Obtaining operating right-of-use assets in exchange for operating lease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977,696</w:t>
            </w:r>
          </w:p>
        </w:tc>
      </w:tr>
      <w:tr>
        <w:trPr>
          <w:trHeight w:val="218"/>
        </w:trPr>
        <w:tc>
          <w:tcPr>
            <w:tcW w:w="6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settlement of receivable from software licensing and related</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support services – related party offset against payables to clients – related</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5"/>
        </w:trPr>
        <w:tc>
          <w:tcPr>
            <w:tcW w:w="61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330,580​</w:t>
            </w: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203" w:lineRule="exact"/>
        <w:rPr>
          <w:sz w:val="20"/>
          <w:szCs w:val="20"/>
          <w:color w:val="auto"/>
        </w:rPr>
      </w:pPr>
    </w:p>
    <w:p>
      <w:pPr>
        <w:ind w:left="640" w:hanging="348"/>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121" w:lineRule="exact"/>
        <w:rPr>
          <w:rFonts w:ascii="Times New Roman" w:cs="Times New Roman" w:eastAsia="Times New Roman" w:hAnsi="Times New Roman"/>
          <w:sz w:val="18"/>
          <w:szCs w:val="18"/>
          <w:b w:val="1"/>
          <w:bCs w:val="1"/>
          <w:color w:val="auto"/>
        </w:rPr>
      </w:pPr>
    </w:p>
    <w:p>
      <w:pPr>
        <w:jc w:val="both"/>
        <w:ind w:left="660" w:right="29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Waton Financial Limited (“Waton Financial” or the “Company”), is a holding company incorporated in the British Virgin Islands with limited liability on June 25, 2010 under the original name of “IAM Group Inc.”, which name was changed to “Waton Financial Limited” on July 5, 2023, and conducts its business mainly through its subsidiaries in Hong Kong (hereafter, the “Group”), namely Waton Securities International Limited (“WSI”). WSI principally engaged in the provision of (i) securities brokerage and distribution services, margin financing services and other ancillary services; and (ii) software licensing and related support services, including licensing and Software-as-a-Service (“SaaS”) based delivery of trading platform applications, upgrades and enhancements, maintenance and other related services to securities brokers and financial institutions. Since September 2023, Waton Technology International Limited (“WTI”) has engaged in the provision of software licensing and related support services, including licensing of trading platform applications, upgrades and enhancements, maintenance and other related services to securities brokers and financial institutions.</w:t>
      </w:r>
    </w:p>
    <w:p>
      <w:pPr>
        <w:spacing w:after="0" w:line="10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2025, the Company’s operating subsidiaries are as follows:</w:t>
      </w:r>
    </w:p>
    <w:p>
      <w:pPr>
        <w:spacing w:after="0" w:line="200" w:lineRule="exact"/>
        <w:rPr>
          <w:sz w:val="20"/>
          <w:szCs w:val="20"/>
          <w:color w:val="auto"/>
        </w:rPr>
      </w:pPr>
    </w:p>
    <w:p>
      <w:pPr>
        <w:spacing w:after="0" w:line="26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2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Major business</w:t>
            </w:r>
          </w:p>
        </w:tc>
        <w:tc>
          <w:tcPr>
            <w:tcW w:w="0" w:type="dxa"/>
            <w:vAlign w:val="bottom"/>
          </w:tcPr>
          <w:p>
            <w:pPr>
              <w:spacing w:after="0"/>
              <w:rPr>
                <w:sz w:val="1"/>
                <w:szCs w:val="1"/>
                <w:color w:val="auto"/>
              </w:rPr>
            </w:pPr>
          </w:p>
        </w:tc>
      </w:tr>
      <w:tr>
        <w:trPr>
          <w:trHeight w:val="190"/>
        </w:trPr>
        <w:tc>
          <w:tcPr>
            <w:tcW w:w="2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90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Waton Securities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28, 1989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90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Broker services and</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Limited (“WSI”)</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software licensing</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 related support</w:t>
            </w:r>
          </w:p>
        </w:tc>
        <w:tc>
          <w:tcPr>
            <w:tcW w:w="0" w:type="dxa"/>
            <w:vAlign w:val="bottom"/>
          </w:tcPr>
          <w:p>
            <w:pPr>
              <w:spacing w:after="0"/>
              <w:rPr>
                <w:sz w:val="1"/>
                <w:szCs w:val="1"/>
                <w:color w:val="auto"/>
              </w:rPr>
            </w:pPr>
          </w:p>
        </w:tc>
      </w:tr>
      <w:tr>
        <w:trPr>
          <w:trHeight w:val="248"/>
        </w:trPr>
        <w:tc>
          <w:tcPr>
            <w:tcW w:w="2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services</w:t>
            </w:r>
          </w:p>
        </w:tc>
        <w:tc>
          <w:tcPr>
            <w:tcW w:w="0" w:type="dxa"/>
            <w:vAlign w:val="bottom"/>
          </w:tcPr>
          <w:p>
            <w:pPr>
              <w:spacing w:after="0"/>
              <w:rPr>
                <w:sz w:val="1"/>
                <w:szCs w:val="1"/>
                <w:color w:val="auto"/>
              </w:rPr>
            </w:pPr>
          </w:p>
        </w:tc>
      </w:tr>
      <w:tr>
        <w:trPr>
          <w:trHeight w:val="21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Waton Technology</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90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Software licensing</w:t>
            </w:r>
          </w:p>
        </w:tc>
        <w:tc>
          <w:tcPr>
            <w:tcW w:w="0" w:type="dxa"/>
            <w:vAlign w:val="bottom"/>
          </w:tcPr>
          <w:p>
            <w:pPr>
              <w:spacing w:after="0"/>
              <w:rPr>
                <w:sz w:val="1"/>
                <w:szCs w:val="1"/>
                <w:color w:val="auto"/>
              </w:rPr>
            </w:pP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Limited (“WTI”)</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related support</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w:t>
            </w:r>
          </w:p>
        </w:tc>
        <w:tc>
          <w:tcPr>
            <w:tcW w:w="0" w:type="dxa"/>
            <w:vAlign w:val="bottom"/>
          </w:tcPr>
          <w:p>
            <w:pPr>
              <w:spacing w:after="0"/>
              <w:rPr>
                <w:sz w:val="1"/>
                <w:szCs w:val="1"/>
                <w:color w:val="auto"/>
              </w:rPr>
            </w:pPr>
          </w:p>
        </w:tc>
      </w:tr>
      <w:tr>
        <w:trPr>
          <w:trHeight w:val="225"/>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Waton Sponsor Limited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7, 2023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British Virgin</w:t>
            </w:r>
          </w:p>
        </w:tc>
        <w:tc>
          <w:tcPr>
            <w:tcW w:w="90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Sponsor of a special</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Islands(“BVI”)</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purpose acquisition</w:t>
            </w:r>
          </w:p>
        </w:tc>
        <w:tc>
          <w:tcPr>
            <w:tcW w:w="0" w:type="dxa"/>
            <w:vAlign w:val="bottom"/>
          </w:tcPr>
          <w:p>
            <w:pPr>
              <w:spacing w:after="0"/>
              <w:rPr>
                <w:sz w:val="1"/>
                <w:szCs w:val="1"/>
                <w:color w:val="auto"/>
              </w:rPr>
            </w:pPr>
          </w:p>
        </w:tc>
      </w:tr>
      <w:tr>
        <w:trPr>
          <w:trHeight w:val="248"/>
        </w:trPr>
        <w:tc>
          <w:tcPr>
            <w:tcW w:w="2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0" w:type="dxa"/>
            <w:vAlign w:val="bottom"/>
          </w:tcPr>
          <w:p>
            <w:pPr>
              <w:spacing w:after="0"/>
              <w:rPr>
                <w:sz w:val="1"/>
                <w:szCs w:val="1"/>
                <w:color w:val="auto"/>
              </w:rPr>
            </w:pPr>
          </w:p>
        </w:tc>
      </w:tr>
      <w:tr>
        <w:trPr>
          <w:trHeight w:val="21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Love &amp; Health Limited*</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2023</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c>
          <w:tcPr>
            <w:tcW w:w="90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Special Purpose</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Acquisition</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Descart Limited</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90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General holding</w:t>
            </w:r>
          </w:p>
        </w:tc>
        <w:tc>
          <w:tcPr>
            <w:tcW w:w="0" w:type="dxa"/>
            <w:vAlign w:val="bottom"/>
          </w:tcPr>
          <w:p>
            <w:pPr>
              <w:spacing w:after="0"/>
              <w:rPr>
                <w:sz w:val="1"/>
                <w:szCs w:val="1"/>
                <w:color w:val="auto"/>
              </w:rPr>
            </w:pPr>
          </w:p>
        </w:tc>
      </w:tr>
      <w:tr>
        <w:trPr>
          <w:trHeight w:val="54"/>
        </w:trPr>
        <w:tc>
          <w:tcPr>
            <w:tcW w:w="24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822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Love &amp; Health Limited has not completed its initial public offering with Nasdaq.</w:t>
      </w:r>
    </w:p>
    <w:p>
      <w:pPr>
        <w:spacing w:after="0" w:line="100"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On April 2, 2025, the Company closed its initial public offering (“IPO”) of 4,375,000 ordinary shares and the sale of an additional 656,250 ordinary shares (the “Over-allotment”), pursuant to the full exercise of the over-allotment option granted to the underwriters in connection with the IPO. The offering price was $4.00 per share. The aggregate gross proceeds of the IPO and Over-allotment were $20,125,000 before deducting underwriting discounts and offering expenses. The ordinary shares of the Company were approved for listing on The Nasdaq Capital Market and commenced trading under the ticker symbol “WTF” on April 1, 2025.</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Going concern and liquidity</w:t>
      </w:r>
    </w:p>
    <w:p>
      <w:pPr>
        <w:spacing w:after="0" w:line="117"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assuming that the Company will continue as a going concern, which contemplates continuity of operations, realization of assets, and liquidation of liabilities in the normal course of business.</w:t>
      </w:r>
    </w:p>
    <w:p>
      <w:pPr>
        <w:spacing w:after="0" w:line="68"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The Company reported a net loss of $8,366,642 for the six months ended September 30, 2025 and had an accumulated deficit of $17,473,787 as of September 30, 2025. The Company had positive working capital of $23,616,959 and cash and cash equivalents of $14,347,536 as of September 30, 2025. The Company’s unaudited condensed consolidated financial statements do not include any adjustments related to the recoverability and classification of recorded asset amounts or the amounts and classification of liabilities that might be necessary should the Company be unable to continue as a going concern.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9" w:lineRule="exact"/>
        <w:rPr>
          <w:sz w:val="20"/>
          <w:szCs w:val="20"/>
          <w:color w:val="auto"/>
        </w:rPr>
      </w:pPr>
    </w:p>
    <w:p>
      <w:pPr>
        <w:ind w:left="640" w:hanging="348"/>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95" w:lineRule="exact"/>
        <w:rPr>
          <w:sz w:val="20"/>
          <w:szCs w:val="20"/>
          <w:color w:val="auto"/>
        </w:rPr>
      </w:pPr>
    </w:p>
    <w:p>
      <w:pPr>
        <w:ind w:left="640" w:hanging="348"/>
        <w:spacing w:after="0"/>
        <w:tabs>
          <w:tab w:leader="none" w:pos="6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accompanying unaudited condensed consolidated financial statements (“Unaudited Financial Statements”) have been prepared in accordance with accounting principles generally accepted in the United States of America (“U.S. GAAP”) and pursuant to the rules and regulations of the Securities Exchange Commission (“SEC”). Accordingly, they do not include all of the information and footnotes required by generally accepted accounting principles for complete financial statements. These unaudited condensed consolidated financial statements should be read in conjunction with the audited consolidated financial statements and notes thereto included in the Company’s Annual Report on Form 20-F as of and for the years ended March 31, 2025 and 2024 (“Audited Financial Statements”), as filed on July 24, 2025. In the opinion of management, all normal recurring adjustments necessary for their fair presentation have been included. Operating results for the six months ended September 30, 2025 and 2024 are not necessarily indicative of the results that may be expected for the full year. Other than policies noted below, there have been no significant changes to the significant accounting policies and estimates disclosed in the Audited Financial Statements.</w:t>
      </w:r>
    </w:p>
    <w:p>
      <w:pPr>
        <w:spacing w:after="0" w:line="185" w:lineRule="exact"/>
        <w:rPr>
          <w:rFonts w:ascii="Times New Roman" w:cs="Times New Roman" w:eastAsia="Times New Roman" w:hAnsi="Times New Roman"/>
          <w:sz w:val="18"/>
          <w:szCs w:val="18"/>
          <w:b w:val="1"/>
          <w:bCs w:val="1"/>
          <w:i w:val="1"/>
          <w:iCs w:val="1"/>
          <w:color w:val="auto"/>
        </w:rPr>
      </w:pPr>
    </w:p>
    <w:p>
      <w:pPr>
        <w:ind w:left="640" w:hanging="348"/>
        <w:spacing w:after="0"/>
        <w:tabs>
          <w:tab w:leader="none" w:pos="6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rFonts w:ascii="Times New Roman" w:cs="Times New Roman" w:eastAsia="Times New Roman" w:hAnsi="Times New Roman"/>
          <w:sz w:val="18"/>
          <w:szCs w:val="18"/>
          <w:b w:val="1"/>
          <w:bCs w:val="1"/>
          <w:i w:val="1"/>
          <w:iCs w:val="1"/>
          <w:color w:val="auto"/>
        </w:rPr>
      </w:pPr>
    </w:p>
    <w:p>
      <w:pPr>
        <w:ind w:left="660" w:right="299"/>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Unaudited Financial Statements include the accounts of the Company and its wholly owned subsidiaries. All significant intercompany balances and transactions have been eliminated in the consolidation.</w:t>
      </w:r>
    </w:p>
    <w:p>
      <w:pPr>
        <w:spacing w:after="0" w:line="157" w:lineRule="exact"/>
        <w:rPr>
          <w:rFonts w:ascii="Times New Roman" w:cs="Times New Roman" w:eastAsia="Times New Roman" w:hAnsi="Times New Roman"/>
          <w:sz w:val="18"/>
          <w:szCs w:val="18"/>
          <w:b w:val="1"/>
          <w:bCs w:val="1"/>
          <w:i w:val="1"/>
          <w:iCs w:val="1"/>
          <w:color w:val="auto"/>
        </w:rPr>
      </w:pPr>
    </w:p>
    <w:p>
      <w:pPr>
        <w:ind w:left="640" w:hanging="348"/>
        <w:spacing w:after="0"/>
        <w:tabs>
          <w:tab w:leader="none" w:pos="6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the Unaudited Financial Statements in accordance with U.S. GAAP requires management to make estimates and assumptions that affect the reported amounts of assets and liabilities at the date of the unaudited condensed consolidated financial statements and reported amounts of revenues and expenses during the reporting periods. These estimates are based on information available as of the date of the Unaudited Financial Statements. Accounting estimates required to be made by management include, but not limited to, recognition of software licensing and related support services income, allowance for credit losses, valuation of share-based compensation, income taxes and valuation for investments. Actual results could differ from those estimates.</w:t>
      </w:r>
    </w:p>
    <w:p>
      <w:pPr>
        <w:spacing w:after="0" w:line="187" w:lineRule="exact"/>
        <w:rPr>
          <w:rFonts w:ascii="Times New Roman" w:cs="Times New Roman" w:eastAsia="Times New Roman" w:hAnsi="Times New Roman"/>
          <w:sz w:val="18"/>
          <w:szCs w:val="18"/>
          <w:b w:val="1"/>
          <w:bCs w:val="1"/>
          <w:i w:val="1"/>
          <w:iCs w:val="1"/>
          <w:color w:val="auto"/>
        </w:rPr>
      </w:pPr>
    </w:p>
    <w:p>
      <w:pPr>
        <w:ind w:left="640" w:hanging="348"/>
        <w:spacing w:after="0"/>
        <w:tabs>
          <w:tab w:leader="none" w:pos="6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 from and payables to clients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Receivables from and payables to clients include amounts due and owed on cash and margin transactions on a trade-date basis. Receivables from clients include margin loans to securities brokerage clients and other trading receivables. WSI engages in margin financing transactions with its clients. Margin loans generated from margin lending activity for securities traded in the secondary market are collateralized by client-owned securities held in client’s accounts. WSI monitors the required margin and collateral level on a daily basis in compliance with regulatory and internal guidelines. Under applicable agreements, clients are required to deposit additional collateral or reduce holding positions, when necessary to avoid forced liquidation of their positions.</w:t>
      </w:r>
    </w:p>
    <w:p>
      <w:pPr>
        <w:spacing w:after="0" w:line="80" w:lineRule="exact"/>
        <w:rPr>
          <w:rFonts w:ascii="Times New Roman" w:cs="Times New Roman" w:eastAsia="Times New Roman" w:hAnsi="Times New Roman"/>
          <w:sz w:val="18"/>
          <w:szCs w:val="18"/>
          <w:b w:val="1"/>
          <w:bCs w:val="1"/>
          <w:i w:val="1"/>
          <w:iCs w:val="1"/>
          <w:color w:val="auto"/>
        </w:rPr>
      </w:pPr>
    </w:p>
    <w:p>
      <w:pPr>
        <w:jc w:val="both"/>
        <w:ind w:left="660" w:right="299"/>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elected the practical expedient for Financial Accounting Standard Board (“FASB”) Accounting Standard Codification (“ASC”) Topic 326 – “Financial Instruments – Credit Losses” (“ASC 326”) which permits it to compare the amortized cost basis of the loaned amount with the fair value of collateral received at the reporting date to measure the estimate of expected credit losses. Securities beneficially owned by clients, including those that collateralize margin or other similar transactions, are not reflected on the unaudited condensed consolidated balance sheets.</w:t>
      </w:r>
    </w:p>
    <w:p>
      <w:pPr>
        <w:spacing w:after="0" w:line="106" w:lineRule="exact"/>
        <w:rPr>
          <w:rFonts w:ascii="Times New Roman" w:cs="Times New Roman" w:eastAsia="Times New Roman" w:hAnsi="Times New Roman"/>
          <w:sz w:val="18"/>
          <w:szCs w:val="18"/>
          <w:b w:val="1"/>
          <w:bCs w:val="1"/>
          <w:i w:val="1"/>
          <w:iCs w:val="1"/>
          <w:color w:val="auto"/>
        </w:rPr>
      </w:pPr>
    </w:p>
    <w:p>
      <w:pPr>
        <w:ind w:left="660" w:right="319"/>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of September 30, 2025 and March 31, 2025, the Group had no credit losses reserve to its receivables from clients.</w:t>
      </w:r>
    </w:p>
    <w:p>
      <w:pPr>
        <w:spacing w:after="0" w:line="157" w:lineRule="exact"/>
        <w:rPr>
          <w:rFonts w:ascii="Times New Roman" w:cs="Times New Roman" w:eastAsia="Times New Roman" w:hAnsi="Times New Roman"/>
          <w:sz w:val="18"/>
          <w:szCs w:val="18"/>
          <w:b w:val="1"/>
          <w:bCs w:val="1"/>
          <w:i w:val="1"/>
          <w:iCs w:val="1"/>
          <w:color w:val="auto"/>
        </w:rPr>
      </w:pPr>
    </w:p>
    <w:p>
      <w:pPr>
        <w:ind w:left="640" w:hanging="348"/>
        <w:spacing w:after="0"/>
        <w:tabs>
          <w:tab w:leader="none" w:pos="6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 from and payables to broker-dealers and clearing organization</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Receivables from and payables to clearing organization include receivables and payables from unsettled trades on a trade-date basis, including amounts receivable for securities trades not delivered by WSI to the purchaser by the settlement date and amounts payable for securities not received by WSI from a seller by the settlement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139" w:lineRule="exact"/>
        <w:rPr>
          <w:sz w:val="20"/>
          <w:szCs w:val="20"/>
          <w:color w:val="auto"/>
        </w:rPr>
      </w:pPr>
    </w:p>
    <w:p>
      <w:pPr>
        <w:ind w:left="660" w:right="319"/>
        <w:spacing w:after="0" w:line="282" w:lineRule="auto"/>
        <w:rPr>
          <w:sz w:val="20"/>
          <w:szCs w:val="20"/>
          <w:color w:val="auto"/>
        </w:rPr>
      </w:pPr>
      <w:r>
        <w:rPr>
          <w:rFonts w:ascii="Times New Roman" w:cs="Times New Roman" w:eastAsia="Times New Roman" w:hAnsi="Times New Roman"/>
          <w:sz w:val="18"/>
          <w:szCs w:val="18"/>
          <w:color w:val="auto"/>
        </w:rPr>
        <w:t>As of September 30, 2025 and March 31, 2025, the Group had no credit losses reserve to its receivables from broker-dealers and clearing organization.</w:t>
      </w:r>
    </w:p>
    <w:p>
      <w:pPr>
        <w:spacing w:after="0" w:line="54" w:lineRule="exact"/>
        <w:rPr>
          <w:sz w:val="20"/>
          <w:szCs w:val="20"/>
          <w:color w:val="auto"/>
        </w:rPr>
      </w:pPr>
    </w:p>
    <w:p>
      <w:pPr>
        <w:ind w:left="660" w:right="319"/>
        <w:spacing w:after="0" w:line="282" w:lineRule="auto"/>
        <w:rPr>
          <w:sz w:val="20"/>
          <w:szCs w:val="20"/>
          <w:color w:val="auto"/>
        </w:rPr>
      </w:pPr>
      <w:r>
        <w:rPr>
          <w:rFonts w:ascii="Times New Roman" w:cs="Times New Roman" w:eastAsia="Times New Roman" w:hAnsi="Times New Roman"/>
          <w:sz w:val="18"/>
          <w:szCs w:val="18"/>
          <w:color w:val="auto"/>
        </w:rPr>
        <w:t>Payables to broker-dealers represent margin loan that WSI borrowed from broker-dealers by repledging or sell-and-repurchase the securities that pledged by its margin clients.</w:t>
      </w:r>
    </w:p>
    <w:p>
      <w:pPr>
        <w:spacing w:after="0" w:line="158" w:lineRule="exact"/>
        <w:rPr>
          <w:sz w:val="20"/>
          <w:szCs w:val="20"/>
          <w:color w:val="auto"/>
        </w:rPr>
      </w:pPr>
    </w:p>
    <w:p>
      <w:pPr>
        <w:ind w:left="640" w:hanging="348"/>
        <w:spacing w:after="0"/>
        <w:tabs>
          <w:tab w:leader="none" w:pos="64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 from software licensing (including subscription based) and related support services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Receivables from software licensing (including subscription based) and related support services primarily consist of amounts due for services already performed and are recorded at the invoiced amount and do not bear interest. The Group maintains an allowance for estimated credit losses inherent in its accounts receivable portfolio. In establishing the expected credit loss, management considers historical losses adjusted to take into account current and future market conditions and the customers’ financial condition, the amount of receivables in dispute and customer paying patterns. Balances that remain outstanding after the Group has used reasonable collection efforts are written off through a charge to the valuation allowance and a credit to accounts receivable. As of September 30, 2025 and March 31, 2025, the receivables from software licensing (including subscription based) and related support services were fully collateralized by the client-owned securities held in the customer’s account. There were no allowance was recognized on the receivables from software licensing (including subscription based) and related support services during the periods presented in the accompanying Unaudited Financial Statements.</w:t>
      </w:r>
    </w:p>
    <w:p>
      <w:pPr>
        <w:spacing w:after="0" w:line="185" w:lineRule="exact"/>
        <w:rPr>
          <w:rFonts w:ascii="Times New Roman" w:cs="Times New Roman" w:eastAsia="Times New Roman" w:hAnsi="Times New Roman"/>
          <w:sz w:val="18"/>
          <w:szCs w:val="18"/>
          <w:b w:val="1"/>
          <w:bCs w:val="1"/>
          <w:i w:val="1"/>
          <w:iCs w:val="1"/>
          <w:color w:val="auto"/>
        </w:rPr>
      </w:pPr>
    </w:p>
    <w:p>
      <w:pPr>
        <w:ind w:left="640" w:hanging="348"/>
        <w:spacing w:after="0"/>
        <w:tabs>
          <w:tab w:leader="none" w:pos="64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Deferred offering costs are incurred in connection with the public offerings of the Company, and initial public offerings (“IPOs”), of the Company’s subsidiary, Love and Health Limited, a SPAC entity, including legal, underwriting, and other public offering related costs. Upon completion of the public offering, these deferred offering costs will be reclassified to shareholders’ equity. If the Company terminates its planned public offering or if there is a significant delay, all of the deferred offering costs will be immediately written off to expenses in the unaudited condensed consolidated statements of operations. Deferred offering costs were $0.44 million and $1.50 million as of September 30, 2025 and March 31, 2025, respectively, and were recorded in other assets. For the six months ended September 30, 2025, the Company’s deferred offering cost of $1.1 million has been charged against equity upon completion of its IPO on April 2, 2025.</w:t>
      </w:r>
    </w:p>
    <w:p>
      <w:pPr>
        <w:spacing w:after="0" w:line="184" w:lineRule="exact"/>
        <w:rPr>
          <w:rFonts w:ascii="Times New Roman" w:cs="Times New Roman" w:eastAsia="Times New Roman" w:hAnsi="Times New Roman"/>
          <w:sz w:val="18"/>
          <w:szCs w:val="18"/>
          <w:b w:val="1"/>
          <w:bCs w:val="1"/>
          <w:i w:val="1"/>
          <w:iCs w:val="1"/>
          <w:color w:val="auto"/>
        </w:rPr>
      </w:pPr>
    </w:p>
    <w:p>
      <w:pPr>
        <w:ind w:left="640" w:hanging="348"/>
        <w:spacing w:after="0"/>
        <w:tabs>
          <w:tab w:leader="none" w:pos="64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 in equity securities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accounts for investments in equity securities in accordance with ASC 321, Investments – Equity Securities. For investment in an equity security in which the Company does not have a controlling financial interest, the Company determines if it has the ability to exercise significant influence over the entity. Equity investment over which the Company does not have the ability to exercise significant influence and that does not have a readily determinable fair value that qualifies for the net asset value (“NAV”) practical expedient. The Company has elected to apply the NAV practical expedient to estimate fair value, with changes in NAV recognized in the accompanying in the unaudited condensed consolidated statements of operations.</w:t>
      </w:r>
    </w:p>
    <w:p>
      <w:pPr>
        <w:spacing w:after="0" w:line="80" w:lineRule="exact"/>
        <w:rPr>
          <w:rFonts w:ascii="Times New Roman" w:cs="Times New Roman" w:eastAsia="Times New Roman" w:hAnsi="Times New Roman"/>
          <w:sz w:val="18"/>
          <w:szCs w:val="18"/>
          <w:b w:val="1"/>
          <w:bCs w:val="1"/>
          <w:i w:val="1"/>
          <w:iCs w:val="1"/>
          <w:color w:val="auto"/>
        </w:rPr>
      </w:pPr>
    </w:p>
    <w:p>
      <w:pPr>
        <w:jc w:val="both"/>
        <w:ind w:left="660" w:right="299"/>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all other investments in equity securities over which the Company does not have the ability to exercise significant influence and without a readily determinable fair value, the Company applies alternative measurements on these equity securities which are defined as cost, less any impairments, a plus or minus changes resulting from observable price changes in orderly transactions for identical or similar investments of the same issuer, if any. The Company monitors the investment for impairments and makes adjustments in carrying values if management determines that an impairment charge is required based primarily on the financial condition and near-term prospects of the investment. The Company evaluates potential impairment indicators, including adverse changes in industry or market conditions, financial performance, business outlook, and other relevant factors. If such indicators are present, further analysis is conducted to determine whether any impairment is other-than-temporary. In cases where an impairment is deemed other-than-temporary, the Company determines the fair value of the investment. When quoted market prices are not available,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13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Company exercises judgment in estimating fair value, taking into account factors such as current economic and market conditions, the investee’s operating performance and earnings trends, and other company- and industry-specific information.</w:t>
      </w:r>
    </w:p>
    <w:p>
      <w:pPr>
        <w:spacing w:after="0" w:line="172" w:lineRule="exact"/>
        <w:rPr>
          <w:sz w:val="20"/>
          <w:szCs w:val="20"/>
          <w:color w:val="auto"/>
        </w:rPr>
      </w:pPr>
    </w:p>
    <w:p>
      <w:pPr>
        <w:ind w:left="640" w:hanging="348"/>
        <w:spacing w:after="0"/>
        <w:tabs>
          <w:tab w:leader="none" w:pos="64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accounts for an equity method investment over which it has significant influence but does not have a controlling financial interest and of which it is not the primary beneficiary. The Group’s share of the investee’s profit and loss is recognized in the unaudited condensed consolidated statements of operations. During the six months ended September 30, 2025 and 2024, the share of investee losses recognized was $0.03 million and $0.34 million, respectively.</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right="299"/>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assesses its equity method investments for other-than-temporary impairment by considering factors as well as all relevant and available information including, but not limited to, current economic and market conditions, the operating performance of the companies including current earnings trends, and other entity-specific information.</w:t>
      </w:r>
    </w:p>
    <w:p>
      <w:pPr>
        <w:spacing w:after="0" w:line="175" w:lineRule="exact"/>
        <w:rPr>
          <w:rFonts w:ascii="Times New Roman" w:cs="Times New Roman" w:eastAsia="Times New Roman" w:hAnsi="Times New Roman"/>
          <w:sz w:val="18"/>
          <w:szCs w:val="18"/>
          <w:b w:val="1"/>
          <w:bCs w:val="1"/>
          <w:i w:val="1"/>
          <w:iCs w:val="1"/>
          <w:color w:val="auto"/>
        </w:rPr>
      </w:pPr>
    </w:p>
    <w:p>
      <w:pPr>
        <w:ind w:left="640" w:hanging="348"/>
        <w:spacing w:after="0"/>
        <w:tabs>
          <w:tab w:leader="none" w:pos="64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performs fair value measurements in accordance with ASC 820, Fair Value Measurements and Disclosures. ASC 820 defines fair value as the price that would be received from selling an asset or paid to transfer a liability in an orderly transaction between market participants at the measurement date.</w:t>
      </w:r>
    </w:p>
    <w:p>
      <w:pPr>
        <w:spacing w:after="0" w:line="67" w:lineRule="exact"/>
        <w:rPr>
          <w:rFonts w:ascii="Times New Roman" w:cs="Times New Roman" w:eastAsia="Times New Roman" w:hAnsi="Times New Roman"/>
          <w:sz w:val="18"/>
          <w:szCs w:val="18"/>
          <w:b w:val="1"/>
          <w:bCs w:val="1"/>
          <w:i w:val="1"/>
          <w:iCs w:val="1"/>
          <w:color w:val="auto"/>
        </w:rPr>
      </w:pPr>
    </w:p>
    <w:p>
      <w:pPr>
        <w:ind w:left="660" w:right="299"/>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ASC 820 establishes a three-tier fair value hierarchy, which prioritizes the inputs used in measuring fair value as follows:</w:t>
      </w:r>
    </w:p>
    <w:p>
      <w:pPr>
        <w:spacing w:after="0" w:line="53" w:lineRule="exact"/>
        <w:rPr>
          <w:rFonts w:ascii="Times New Roman" w:cs="Times New Roman" w:eastAsia="Times New Roman" w:hAnsi="Times New Roman"/>
          <w:sz w:val="18"/>
          <w:szCs w:val="18"/>
          <w:b w:val="1"/>
          <w:bCs w:val="1"/>
          <w:i w:val="1"/>
          <w:iCs w:val="1"/>
          <w:color w:val="auto"/>
        </w:rPr>
      </w:pPr>
    </w:p>
    <w:p>
      <w:pPr>
        <w:ind w:left="1000" w:hanging="348"/>
        <w:spacing w:after="0"/>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quoted prices for identical assets or liabilities in active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which are supported by little or no market activity and that are significant to the fair value of the assets or liabilities.</w:t>
      </w:r>
    </w:p>
    <w:p>
      <w:pPr>
        <w:spacing w:after="0" w:line="54"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7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As of September 30, 2025 and March 31, 2025, the carrying values of cash and cash equivalents, cash segregated under regulatory requirements, receivables from clients, receivables from broker-dealers and clearing organization, receivables from software licensing and related support services, prepaid expenses and other current assets, payables to clients, payables to broker dealers and clearing organization, accrued expenses and other current liabilities approximated their fair values reported in the unaudited condensed consolidated balance sheets due to the short-term maturities of these financial instruments. The Company applies the practical expedient provided by the ASC Topic 820 relating to investments in certain entities that calculate net asset value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 Investments which are valued using NAV per share as a practical expedient are not categorized within the fair value hierarchy as per ASC Topic 820.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230" w:lineRule="exact"/>
        <w:rPr>
          <w:sz w:val="20"/>
          <w:szCs w:val="20"/>
          <w:color w:val="auto"/>
        </w:rPr>
      </w:pPr>
    </w:p>
    <w:p>
      <w:pPr>
        <w:ind w:left="640" w:hanging="348"/>
        <w:spacing w:after="0"/>
        <w:tabs>
          <w:tab w:leader="none" w:pos="64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records a contract asset when revenue is recognized prior to invoicing. The Group’s contract liabilities primarily relate to unsatisfied performance obligations when payment has been received from customers before the performance obligations are satisfied. The following table summarized the opening and closing balances in contract assets and liabilities:</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Contract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7"/>
              </w:rPr>
              <w:t>Contract assets</w:t>
            </w:r>
          </w:p>
        </w:tc>
        <w:tc>
          <w:tcPr>
            <w:tcW w:w="20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100"/>
              <w:spacing w:after="0" w:line="213" w:lineRule="exact"/>
              <w:rPr>
                <w:sz w:val="20"/>
                <w:szCs w:val="20"/>
                <w:color w:val="auto"/>
              </w:rPr>
            </w:pPr>
            <w:r>
              <w:rPr>
                <w:rFonts w:ascii="Times New Roman" w:cs="Times New Roman" w:eastAsia="Times New Roman" w:hAnsi="Times New Roman"/>
                <w:sz w:val="14"/>
                <w:szCs w:val="14"/>
                <w:color w:val="auto"/>
              </w:rPr>
              <w:t>liabilities</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April 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$ 600,000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to contract balance recognized since beginning of period due to</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recognition of revenue and amounts billed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to contract balance recognized since beginning of the period due to</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recognition of revenue and amounts billed</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(569,155)</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630,845</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$ 123,137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8229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liabilities were included within the accrued expenses and other current liabilities.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expected credit loss recognized for the six months ended September 30, 2025 and 2024 for contract assets.</w:t>
      </w:r>
    </w:p>
    <w:p>
      <w:pPr>
        <w:spacing w:after="0" w:line="221" w:lineRule="exact"/>
        <w:rPr>
          <w:sz w:val="20"/>
          <w:szCs w:val="20"/>
          <w:color w:val="auto"/>
        </w:rPr>
      </w:pPr>
    </w:p>
    <w:p>
      <w:pPr>
        <w:ind w:left="640" w:hanging="348"/>
        <w:spacing w:after="0"/>
        <w:tabs>
          <w:tab w:leader="none" w:pos="64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and credit risk</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Financial instruments that potentially subject the Group to concentration of credit risk consist of cash accounts held with financial institutions in Hong Kong. Cash segregated under regulatory requirements is deposited in reputable financial institutions as required by the Hong Kong Securities and Futures Ordinance. At times, these accounts may exceed the maximum coverage limit of approximatively $102,000 (HK$800,000), effective from October 1, 2024, under the Deposit Protection Scheme introduced by the Hong Kong Government.</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right="299"/>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has not experienced any losses in these accounts and management believes that these financial institutions are of sound credit quality and the Group is not exposed to any significant credit risk on these accounts.</w:t>
      </w:r>
    </w:p>
    <w:p>
      <w:pPr>
        <w:spacing w:after="0" w:line="67" w:lineRule="exact"/>
        <w:rPr>
          <w:rFonts w:ascii="Times New Roman" w:cs="Times New Roman" w:eastAsia="Times New Roman" w:hAnsi="Times New Roman"/>
          <w:sz w:val="18"/>
          <w:szCs w:val="18"/>
          <w:b w:val="1"/>
          <w:bCs w:val="1"/>
          <w:i w:val="1"/>
          <w:iCs w:val="1"/>
          <w:color w:val="auto"/>
        </w:rPr>
      </w:pPr>
    </w:p>
    <w:p>
      <w:pPr>
        <w:ind w:left="660" w:right="319"/>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Group’s exposure to credit risk associated with its trading and other activities is measured on an individual counterparty basis, as well as by Group of counterparties that share similar attributes.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is exposed to concentration risks with specific counterparties.</w:t>
      </w:r>
    </w:p>
    <w:p>
      <w:pPr>
        <w:spacing w:after="0" w:line="117"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customers</w:t>
      </w:r>
    </w:p>
    <w:p>
      <w:pPr>
        <w:spacing w:after="0" w:line="117"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For the six months ended September 30, 2025 and 2024, customer A, a related party, accounted for 36.6% and 68.0% of the Group’s total revenues, respectively. As of September 30, 2025, customer A accounted for 5.8% of the total balance of receivables, including balances from client, broker-dealers and clearing organizations and software licensing and related support service. As of March 31, 2025, customer A accounted for 61.0% of the total balance of receivables. For the six months ended September 30, 2025 and 2024, customer B, accounted for 14.6% and nil of the Group’s total revenues, respectively. As of September 30, 2025, customer B accounted for 38.6% of the total balance of receivables, including balances from client, broker-dealers and clearing organizations and software licensing and related support service. As of March 31, 2025, customer B accounted for nil of the total balance of receivables.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Major supplier</w:t>
      </w:r>
    </w:p>
    <w:p>
      <w:pPr>
        <w:spacing w:after="0" w:line="117"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There was one sole related party supplier for software licensing and related support outsourcing services, who accounted for 5.4% and 13.3% of total operating costs and expenses for the six months ended September 30, 2025 and 2024, respectively. As of September 30, 2025 and March 31, 2025, supplier A, a related party, accounted for 6.5% and 5.4% of the total balance of accounts payable, respectively. Supplier A ceased to be a related party in the fourth quarter in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230" w:lineRule="exact"/>
        <w:rPr>
          <w:sz w:val="20"/>
          <w:szCs w:val="20"/>
          <w:color w:val="auto"/>
        </w:rPr>
      </w:pPr>
    </w:p>
    <w:p>
      <w:pPr>
        <w:ind w:left="640" w:hanging="348"/>
        <w:spacing w:after="0"/>
        <w:tabs>
          <w:tab w:leader="none" w:pos="64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319"/>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Group’s business, financial condition and results of operations may also be negatively impacted by risks related to regional wars, geopolitical tensions, natural disasters, extreme weather conditions, health epidemics and other catastrophic incidents, which could potentially and significantly disrupt the Group’s operations.</w:t>
      </w:r>
    </w:p>
    <w:p>
      <w:pPr>
        <w:spacing w:after="0" w:line="171" w:lineRule="exact"/>
        <w:rPr>
          <w:rFonts w:ascii="Times New Roman" w:cs="Times New Roman" w:eastAsia="Times New Roman" w:hAnsi="Times New Roman"/>
          <w:sz w:val="18"/>
          <w:szCs w:val="18"/>
          <w:b w:val="1"/>
          <w:bCs w:val="1"/>
          <w:i w:val="1"/>
          <w:iCs w:val="1"/>
          <w:color w:val="auto"/>
        </w:rPr>
      </w:pPr>
    </w:p>
    <w:p>
      <w:pPr>
        <w:ind w:left="640" w:hanging="348"/>
        <w:spacing w:after="0"/>
        <w:tabs>
          <w:tab w:leader="none" w:pos="64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right="299"/>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an “emerging growth company” as defined in the JOBS Act. Under the JOBS Act, an emerging growth company can delay adopting new or revised accounting standards issued subsequent to the enactment of the JOBS Act until such time as those standards apply to private companies.</w:t>
      </w:r>
    </w:p>
    <w:p>
      <w:pPr>
        <w:spacing w:after="0" w:line="108"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Recently issued accounting pronouncements not yet adopted -</w:t>
      </w:r>
    </w:p>
    <w:p>
      <w:pPr>
        <w:spacing w:after="0" w:line="117" w:lineRule="exact"/>
        <w:rPr>
          <w:rFonts w:ascii="Times New Roman" w:cs="Times New Roman" w:eastAsia="Times New Roman" w:hAnsi="Times New Roman"/>
          <w:sz w:val="18"/>
          <w:szCs w:val="18"/>
          <w:b w:val="1"/>
          <w:bCs w:val="1"/>
          <w:i w:val="1"/>
          <w:iCs w:val="1"/>
          <w:color w:val="auto"/>
        </w:rPr>
      </w:pPr>
    </w:p>
    <w:p>
      <w:pPr>
        <w:jc w:val="both"/>
        <w:ind w:left="660" w:right="299"/>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requires public entities to disclose specific categories in the rate reconciliation and provide additional information for reconciling items that meet a quantitative threshold on an annual basis. The new guidance will become effective for the Company’s financial statements issued for annual reporting periods beginning on January 1, 2026. The Company will be required to adopt this guidance on a prospective basis with an option to apply it retrospectively for each period presented. Early adoption of the standard is also permitted. The Company is in the process of evaluating the impact of the financial statement disclosure requirement.</w:t>
      </w:r>
    </w:p>
    <w:p>
      <w:pPr>
        <w:spacing w:after="0" w:line="80" w:lineRule="exact"/>
        <w:rPr>
          <w:rFonts w:ascii="Times New Roman" w:cs="Times New Roman" w:eastAsia="Times New Roman" w:hAnsi="Times New Roman"/>
          <w:sz w:val="18"/>
          <w:szCs w:val="18"/>
          <w:b w:val="1"/>
          <w:bCs w:val="1"/>
          <w:i w:val="1"/>
          <w:iCs w:val="1"/>
          <w:color w:val="auto"/>
        </w:rPr>
      </w:pPr>
    </w:p>
    <w:p>
      <w:pPr>
        <w:jc w:val="both"/>
        <w:ind w:left="660" w:right="299"/>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November 2024, the FASB issued ASU No. 2024-03, “Disaggregation of Income Statement Expenses (Subtopic 220-40): Disaggregation of Income Statement Expenses”, which is intended to provide disaggregated information about a public business entity’s expenses to help financial statement users better understand the entity’s performance, better assess the entity’s prospects for future cash flows, and compare an entity’s performance over time and with that of other entities. The amendment is effective for fiscal years beginning after December 15, 2026 and interim periods within fiscal years beginning after December 15, 2027. Early adoption is permitted. The new standard may be applied either on a prospective or retrospective basis. The Company is currently evaluating the effect of adopting this guidance.</w:t>
      </w:r>
    </w:p>
    <w:p>
      <w:pPr>
        <w:spacing w:after="0" w:line="83" w:lineRule="exact"/>
        <w:rPr>
          <w:rFonts w:ascii="Times New Roman" w:cs="Times New Roman" w:eastAsia="Times New Roman" w:hAnsi="Times New Roman"/>
          <w:sz w:val="18"/>
          <w:szCs w:val="18"/>
          <w:b w:val="1"/>
          <w:bCs w:val="1"/>
          <w:i w:val="1"/>
          <w:iCs w:val="1"/>
          <w:color w:val="auto"/>
        </w:rPr>
      </w:pPr>
    </w:p>
    <w:p>
      <w:pPr>
        <w:jc w:val="both"/>
        <w:ind w:left="660" w:right="299"/>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July 2025, the FASB issued ASU No. 2025-05, Financial Instruments — Credit Losses (Topic 326): Measurement of Credit Losses for Accounts Receivable and Contract Assets. The amendment provides all entities with a practical expedient to assume that current conditions as of the balance sheet date do not change for the remaining life of the assets and with an accounting policy election to consider collection activity after the balance sheet date when estimating expected credit losses for current accounts receivable and current contract assets arising from transactions accounted for under Topic 606. This guidance is effective for annual reporting periods beginning after December 15, 2025 and interim reporting periods within those annual reporting periods. Early adoption is permitted. The Company is currently evaluating the effect of adopting this guidance.</w:t>
      </w:r>
    </w:p>
    <w:p>
      <w:pPr>
        <w:spacing w:after="0" w:line="80" w:lineRule="exact"/>
        <w:rPr>
          <w:rFonts w:ascii="Times New Roman" w:cs="Times New Roman" w:eastAsia="Times New Roman" w:hAnsi="Times New Roman"/>
          <w:sz w:val="18"/>
          <w:szCs w:val="18"/>
          <w:b w:val="1"/>
          <w:bCs w:val="1"/>
          <w:i w:val="1"/>
          <w:iCs w:val="1"/>
          <w:color w:val="auto"/>
        </w:rPr>
      </w:pPr>
    </w:p>
    <w:p>
      <w:pPr>
        <w:ind w:left="660" w:right="319"/>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Except for the above-mentioned pronouncements, there are no new recently issued accounting standards that will have a material impact on the Group’s unaudited condensed consolidated financial statements.</w:t>
      </w:r>
    </w:p>
    <w:p>
      <w:pPr>
        <w:spacing w:after="0" w:line="158" w:lineRule="exact"/>
        <w:rPr>
          <w:sz w:val="20"/>
          <w:szCs w:val="20"/>
          <w:color w:val="auto"/>
        </w:rPr>
      </w:pPr>
    </w:p>
    <w:p>
      <w:pPr>
        <w:ind w:left="640" w:hanging="348"/>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w:t>
      </w:r>
    </w:p>
    <w:p>
      <w:pPr>
        <w:spacing w:after="0" w:line="121" w:lineRule="exact"/>
        <w:rPr>
          <w:rFonts w:ascii="Times New Roman" w:cs="Times New Roman" w:eastAsia="Times New Roman" w:hAnsi="Times New Roman"/>
          <w:sz w:val="18"/>
          <w:szCs w:val="18"/>
          <w:b w:val="1"/>
          <w:bCs w:val="1"/>
          <w:color w:val="auto"/>
        </w:rPr>
      </w:pPr>
    </w:p>
    <w:p>
      <w:pPr>
        <w:jc w:val="both"/>
        <w:ind w:left="660" w:right="3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2025, the Company invested $1,000,000 in membership interests of a certain investment fund, which is a limited liability company incorporated in the State of Delaware representing approximately 1% of the outstanding membership interests of the investment fund. The Company determined it does not have significant influence in the investment fund and the investment does not have readily determinable fair value, and is eligible to measure in accordance with NAV practical expedient.</w:t>
      </w:r>
    </w:p>
    <w:p>
      <w:pPr>
        <w:spacing w:after="0" w:line="75" w:lineRule="exact"/>
        <w:rPr>
          <w:rFonts w:ascii="Times New Roman" w:cs="Times New Roman" w:eastAsia="Times New Roman" w:hAnsi="Times New Roman"/>
          <w:sz w:val="18"/>
          <w:szCs w:val="18"/>
          <w:b w:val="1"/>
          <w:bCs w:val="1"/>
          <w:color w:val="auto"/>
        </w:rPr>
      </w:pPr>
    </w:p>
    <w:p>
      <w:pPr>
        <w:jc w:val="both"/>
        <w:ind w:left="660" w:right="2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holds 100% of member interest in WIG SPC, an exempted segregated portfolio company. WIG SPC is the host legal entity of multiple segregated portfolios and does not have material assets, liabilities, or equity other than those solely attributable to the individual segregated portfolios. Each segregated portfolio (“SP”) holds specified assets and liabilities that are legally and economically segregated from the other SP and WIG SPC. Because the power to direct the activities that most significantly impact economic performance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139" w:lineRule="exact"/>
        <w:rPr>
          <w:sz w:val="20"/>
          <w:szCs w:val="20"/>
          <w:color w:val="auto"/>
        </w:rPr>
      </w:pPr>
    </w:p>
    <w:p>
      <w:pPr>
        <w:jc w:val="both"/>
        <w:ind w:left="660" w:right="299"/>
        <w:spacing w:after="0" w:line="282" w:lineRule="auto"/>
        <w:rPr>
          <w:sz w:val="20"/>
          <w:szCs w:val="20"/>
          <w:color w:val="auto"/>
        </w:rPr>
      </w:pPr>
      <w:r>
        <w:rPr>
          <w:rFonts w:ascii="Times New Roman" w:cs="Times New Roman" w:eastAsia="Times New Roman" w:hAnsi="Times New Roman"/>
          <w:sz w:val="18"/>
          <w:szCs w:val="18"/>
          <w:color w:val="auto"/>
        </w:rPr>
        <w:t>the related risks and rewards are isolated at the SP level, the equity interests of the individual SPs do not represent equity investment at risk of WIG SPC as a whole under ASC 810, Consolidation.</w:t>
      </w:r>
    </w:p>
    <w:p>
      <w:pPr>
        <w:spacing w:after="0" w:line="54" w:lineRule="exact"/>
        <w:rPr>
          <w:sz w:val="20"/>
          <w:szCs w:val="20"/>
          <w:color w:val="auto"/>
        </w:rPr>
      </w:pPr>
    </w:p>
    <w:p>
      <w:pPr>
        <w:jc w:val="both"/>
        <w:ind w:left="660" w:right="319"/>
        <w:spacing w:after="0" w:line="282" w:lineRule="auto"/>
        <w:rPr>
          <w:sz w:val="20"/>
          <w:szCs w:val="20"/>
          <w:color w:val="auto"/>
        </w:rPr>
      </w:pPr>
      <w:r>
        <w:rPr>
          <w:rFonts w:ascii="Times New Roman" w:cs="Times New Roman" w:eastAsia="Times New Roman" w:hAnsi="Times New Roman"/>
          <w:sz w:val="18"/>
          <w:szCs w:val="18"/>
          <w:color w:val="auto"/>
        </w:rPr>
        <w:t>The Company determined that it is not the primary beneficiary of any of the segregated portfolios and, accordingly, does not consolidate the segregated portfolios in its consolidated financial statements.</w:t>
      </w:r>
    </w:p>
    <w:p>
      <w:pPr>
        <w:spacing w:after="0" w:line="54" w:lineRule="exact"/>
        <w:rPr>
          <w:sz w:val="20"/>
          <w:szCs w:val="20"/>
          <w:color w:val="auto"/>
        </w:rPr>
      </w:pPr>
    </w:p>
    <w:p>
      <w:pPr>
        <w:jc w:val="both"/>
        <w:ind w:left="660" w:right="319"/>
        <w:spacing w:after="0" w:line="282" w:lineRule="auto"/>
        <w:rPr>
          <w:sz w:val="20"/>
          <w:szCs w:val="20"/>
          <w:color w:val="auto"/>
        </w:rPr>
      </w:pPr>
      <w:r>
        <w:rPr>
          <w:rFonts w:ascii="Times New Roman" w:cs="Times New Roman" w:eastAsia="Times New Roman" w:hAnsi="Times New Roman"/>
          <w:sz w:val="18"/>
          <w:szCs w:val="18"/>
          <w:color w:val="auto"/>
        </w:rPr>
        <w:t>During the six months ended September 30, 2025, WSI launched Z Navigation Option Hedge Fund S.P. (“SP4” or “Z Navigation”), a segregated portfolio within WIG SPC.</w:t>
      </w:r>
    </w:p>
    <w:p>
      <w:pPr>
        <w:spacing w:after="0" w:line="54"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In July 2025, WSI subscribed for $1,000,000 Class VI Shares of Z Navigation at the subscription price of $15 per share. Z Navigation is a segregated portfolio fund under WIG SPC and invests in a private equity fund and certain listed equity securities. The fund is readily marketable and the Group is expected to realize it in a short-term period. As of September 30, 2025, the Company’s variable interest in Z Navigation is classified as Investment securities, at NAV – related party, with a carrying amount of $1,000,000. The Company’s maximum exposure to loss is limited to its subscription amount of $1 million, representing its junior tranche capital amongst $2 million total junior tranche capital paid up by junior tranche members. WSI co-manages the fund with another senior tranche investor pursuant to a supplemental fund management agreement during the six months ended September 30, 2025. The Company has no obligation to provide additional financial support, including liquidity facilities, guarantees, or asset purchase commitments. The senior tranche stop-loss protection is borne solely by senior investors.</w:t>
      </w:r>
    </w:p>
    <w:p>
      <w:pPr>
        <w:spacing w:after="0" w:line="84" w:lineRule="exact"/>
        <w:rPr>
          <w:sz w:val="20"/>
          <w:szCs w:val="20"/>
          <w:color w:val="auto"/>
        </w:rPr>
      </w:pPr>
    </w:p>
    <w:p>
      <w:pPr>
        <w:jc w:val="both"/>
        <w:ind w:left="660" w:right="299"/>
        <w:spacing w:after="0" w:line="282" w:lineRule="auto"/>
        <w:rPr>
          <w:sz w:val="20"/>
          <w:szCs w:val="20"/>
          <w:color w:val="auto"/>
        </w:rPr>
      </w:pPr>
      <w:r>
        <w:rPr>
          <w:rFonts w:ascii="Times New Roman" w:cs="Times New Roman" w:eastAsia="Times New Roman" w:hAnsi="Times New Roman"/>
          <w:sz w:val="18"/>
          <w:szCs w:val="18"/>
          <w:color w:val="auto"/>
        </w:rPr>
        <w:t>During the six months ended September 30, 2025 and 2024, the Company recognized the changes in net asset value of investments of $0.74 million and nil, respectively.</w:t>
      </w:r>
    </w:p>
    <w:p>
      <w:pPr>
        <w:spacing w:after="0" w:line="158" w:lineRule="exact"/>
        <w:rPr>
          <w:sz w:val="20"/>
          <w:szCs w:val="20"/>
          <w:color w:val="auto"/>
        </w:rPr>
      </w:pPr>
    </w:p>
    <w:p>
      <w:pPr>
        <w:ind w:left="640" w:hanging="348"/>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 NET</w:t>
      </w:r>
    </w:p>
    <w:p>
      <w:pPr>
        <w:spacing w:after="0" w:line="121" w:lineRule="exact"/>
        <w:rPr>
          <w:rFonts w:ascii="Times New Roman" w:cs="Times New Roman" w:eastAsia="Times New Roman" w:hAnsi="Times New Roman"/>
          <w:sz w:val="18"/>
          <w:szCs w:val="18"/>
          <w:b w:val="1"/>
          <w:bCs w:val="1"/>
          <w:color w:val="auto"/>
        </w:rPr>
      </w:pPr>
    </w:p>
    <w:p>
      <w:pPr>
        <w:jc w:val="both"/>
        <w:ind w:left="660" w:right="29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March 31, 2024, WSI acquired a 55% interest in LeFeng Hainan Private Equity Fund Management Limited (“LeFeng”). WSI does not have the requisite voting power of two thirds or more to control LeFeng pursuant to its articles of association and cannot remove the existing sole director appointed by the other shareholder holding a 45% equity interest without cause. WSI’s obligation to absorb losses of, or the right to receive benefits from, the investee is limited to its capital investments or its rights to receive sharing of profit from the investee based on its proportionate share of the capital contributions. The Group determined it has ability to exercise significant influence over its financial and operating polices and therefore accounted for this investment under equity method.</w:t>
      </w:r>
    </w:p>
    <w:p>
      <w:pPr>
        <w:spacing w:after="0" w:line="83" w:lineRule="exact"/>
        <w:rPr>
          <w:rFonts w:ascii="Times New Roman" w:cs="Times New Roman" w:eastAsia="Times New Roman" w:hAnsi="Times New Roman"/>
          <w:sz w:val="18"/>
          <w:szCs w:val="18"/>
          <w:b w:val="1"/>
          <w:bCs w:val="1"/>
          <w:color w:val="auto"/>
        </w:rPr>
      </w:pPr>
    </w:p>
    <w:p>
      <w:pPr>
        <w:jc w:val="both"/>
        <w:ind w:left="660" w:right="2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October 2024, WSI and the sole director of LeFeng (the “Purchaser”) entered into a shares transfer agreement, pursuant to which WSI agreed to sell and the Purchaser agreed to purchase the 55% equity interest in LeFeng with carrying amount of $0.77 million for a consideration of approximately $0.90 million (equivalent to HK$7,000,000) (the “Divestment”). The Divestment was completed during the six months ended September 30, 2025.</w:t>
      </w:r>
    </w:p>
    <w:p>
      <w:pPr>
        <w:spacing w:after="0" w:line="75" w:lineRule="exact"/>
        <w:rPr>
          <w:rFonts w:ascii="Times New Roman" w:cs="Times New Roman" w:eastAsia="Times New Roman" w:hAnsi="Times New Roman"/>
          <w:sz w:val="18"/>
          <w:szCs w:val="18"/>
          <w:b w:val="1"/>
          <w:bCs w:val="1"/>
          <w:color w:val="auto"/>
        </w:rPr>
      </w:pPr>
    </w:p>
    <w:p>
      <w:pPr>
        <w:ind w:left="66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six months ended September 30, 2025 and 2024, the loss on share of equity method investment was $0.03 million and $0.34 million.</w:t>
      </w:r>
    </w:p>
    <w:p>
      <w:pPr>
        <w:spacing w:after="0" w:line="53" w:lineRule="exact"/>
        <w:rPr>
          <w:rFonts w:ascii="Times New Roman" w:cs="Times New Roman" w:eastAsia="Times New Roman" w:hAnsi="Times New Roman"/>
          <w:sz w:val="18"/>
          <w:szCs w:val="18"/>
          <w:b w:val="1"/>
          <w:bCs w:val="1"/>
          <w:color w:val="auto"/>
        </w:rPr>
      </w:pPr>
    </w:p>
    <w:p>
      <w:pPr>
        <w:jc w:val="both"/>
        <w:ind w:left="660" w:right="3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six months ended September 30, 2025, the Company recorded a gain on sale of equity method investment of $0.74 million and provided an allowance on expected credit loss of $0.74 million on the receivable of the Divestment, which is recorded in the “Prepaid expenses and other current assets”.</w:t>
      </w:r>
    </w:p>
    <w:p>
      <w:pPr>
        <w:spacing w:after="0" w:line="171"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rFonts w:ascii="Times New Roman" w:cs="Times New Roman" w:eastAsia="Times New Roman" w:hAnsi="Times New Roman"/>
          <w:sz w:val="18"/>
          <w:szCs w:val="18"/>
          <w:b w:val="1"/>
          <w:bCs w:val="1"/>
          <w:color w:val="auto"/>
        </w:rPr>
      </w:pPr>
    </w:p>
    <w:p>
      <w:pPr>
        <w:jc w:val="both"/>
        <w:ind w:left="660" w:right="2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operating leases for its offices with terms ranging from two to three years. In April and September 2023, the Group entered into two new lease agreements, one for its corporate headquarters at Harbor City, Hong Kong, and the other for employee residence. The Group also has a finance lease for a printer, which is deemed not material for accounting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1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components of lease costs are as follows:</w:t>
      </w:r>
    </w:p>
    <w:p>
      <w:pPr>
        <w:spacing w:after="0" w:line="200" w:lineRule="exact"/>
        <w:rPr>
          <w:sz w:val="20"/>
          <w:szCs w:val="20"/>
          <w:color w:val="auto"/>
        </w:rPr>
      </w:pPr>
    </w:p>
    <w:p>
      <w:pPr>
        <w:spacing w:after="0" w:line="275"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5132070</wp:posOffset>
            </wp:positionH>
            <wp:positionV relativeFrom="paragraph">
              <wp:posOffset>22225</wp:posOffset>
            </wp:positionV>
            <wp:extent cx="10375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6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660" w:type="dxa"/>
            <w:vAlign w:val="bottom"/>
          </w:tcPr>
          <w:p>
            <w:pPr>
              <w:spacing w:after="0"/>
              <w:rPr>
                <w:sz w:val="23"/>
                <w:szCs w:val="23"/>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80" w:type="dxa"/>
            <w:vAlign w:val="bottom"/>
            <w:tcBorders>
              <w:bottom w:val="single" w:sz="8" w:color="CCEEFF"/>
            </w:tcBorders>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$325,960</w:t>
            </w:r>
          </w:p>
        </w:tc>
        <w:tc>
          <w:tcPr>
            <w:tcW w:w="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right w:val="single" w:sz="8" w:color="CCEEFF"/>
            </w:tcBorders>
            <w:gridSpan w:val="5"/>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$315,013</w:t>
            </w:r>
          </w:p>
        </w:tc>
        <w:tc>
          <w:tcPr>
            <w:tcW w:w="1300" w:type="dxa"/>
            <w:vAlign w:val="bottom"/>
          </w:tcPr>
          <w:p>
            <w:pPr>
              <w:spacing w:after="0"/>
              <w:rPr>
                <w:sz w:val="23"/>
                <w:szCs w:val="23"/>
                <w:color w:val="auto"/>
              </w:rPr>
            </w:pPr>
          </w:p>
        </w:tc>
      </w:tr>
      <w:tr>
        <w:trPr>
          <w:trHeight w:val="324"/>
        </w:trPr>
        <w:tc>
          <w:tcPr>
            <w:tcW w:w="77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w w:val="99"/>
              </w:rPr>
              <w:t>The following table presents supplemental information related to the Group’s leases: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6"/>
        </w:trPr>
        <w:tc>
          <w:tcPr>
            <w:tcW w:w="16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980" w:type="dxa"/>
            <w:vAlign w:val="bottom"/>
            <w:gridSpan w:val="1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300" w:type="dxa"/>
            <w:vAlign w:val="bottom"/>
          </w:tcPr>
          <w:p>
            <w:pPr>
              <w:spacing w:after="0"/>
              <w:rPr>
                <w:sz w:val="24"/>
                <w:szCs w:val="24"/>
                <w:color w:val="auto"/>
              </w:rPr>
            </w:pPr>
          </w:p>
        </w:tc>
      </w:tr>
      <w:tr>
        <w:trPr>
          <w:trHeight w:val="190"/>
        </w:trPr>
        <w:tc>
          <w:tcPr>
            <w:tcW w:w="166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Pr>
          <w:p>
            <w:pPr>
              <w:spacing w:after="0"/>
              <w:rPr>
                <w:sz w:val="16"/>
                <w:szCs w:val="16"/>
                <w:color w:val="auto"/>
              </w:rPr>
            </w:pPr>
          </w:p>
        </w:tc>
      </w:tr>
      <w:tr>
        <w:trPr>
          <w:trHeight w:val="23"/>
        </w:trPr>
        <w:tc>
          <w:tcPr>
            <w:tcW w:w="16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66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77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60" w:type="dxa"/>
            <w:vAlign w:val="bottom"/>
          </w:tcPr>
          <w:p>
            <w:pPr>
              <w:spacing w:after="0"/>
              <w:rPr>
                <w:sz w:val="21"/>
                <w:szCs w:val="21"/>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166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20" w:type="dxa"/>
            <w:vAlign w:val="bottom"/>
            <w:gridSpan w:val="5"/>
          </w:tcPr>
          <w:p>
            <w:pPr>
              <w:jc w:val="right"/>
              <w:ind w:right="48"/>
              <w:spacing w:after="0"/>
              <w:rPr>
                <w:sz w:val="20"/>
                <w:szCs w:val="20"/>
                <w:color w:val="auto"/>
              </w:rPr>
            </w:pPr>
            <w:r>
              <w:rPr>
                <w:rFonts w:ascii="Times New Roman" w:cs="Times New Roman" w:eastAsia="Times New Roman" w:hAnsi="Times New Roman"/>
                <w:sz w:val="18"/>
                <w:szCs w:val="18"/>
                <w:color w:val="auto"/>
              </w:rPr>
              <w:t>$290,920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$252,730</w:t>
            </w:r>
          </w:p>
        </w:tc>
        <w:tc>
          <w:tcPr>
            <w:tcW w:w="1300" w:type="dxa"/>
            <w:vAlign w:val="bottom"/>
          </w:tcPr>
          <w:p>
            <w:pPr>
              <w:spacing w:after="0"/>
              <w:rPr>
                <w:sz w:val="20"/>
                <w:szCs w:val="20"/>
                <w:color w:val="auto"/>
              </w:rPr>
            </w:pPr>
          </w:p>
        </w:tc>
      </w:tr>
      <w:tr>
        <w:trPr>
          <w:trHeight w:val="252"/>
        </w:trPr>
        <w:tc>
          <w:tcPr>
            <w:tcW w:w="1660" w:type="dxa"/>
            <w:vAlign w:val="bottom"/>
          </w:tcPr>
          <w:p>
            <w:pPr>
              <w:spacing w:after="0"/>
              <w:rPr>
                <w:sz w:val="21"/>
                <w:szCs w:val="21"/>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39"/>
        </w:trPr>
        <w:tc>
          <w:tcPr>
            <w:tcW w:w="166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1660" w:type="dxa"/>
            <w:vAlign w:val="bottom"/>
          </w:tcPr>
          <w:p>
            <w:pPr>
              <w:spacing w:after="0"/>
              <w:rPr>
                <w:sz w:val="21"/>
                <w:szCs w:val="21"/>
                <w:color w:val="auto"/>
              </w:rPr>
            </w:pPr>
          </w:p>
        </w:tc>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gridSpan w:val="5"/>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0.50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1300" w:type="dxa"/>
            <w:vAlign w:val="bottom"/>
          </w:tcPr>
          <w:p>
            <w:pPr>
              <w:spacing w:after="0"/>
              <w:rPr>
                <w:sz w:val="21"/>
                <w:szCs w:val="21"/>
                <w:color w:val="auto"/>
              </w:rPr>
            </w:pPr>
          </w:p>
        </w:tc>
      </w:tr>
      <w:tr>
        <w:trPr>
          <w:trHeight w:val="239"/>
        </w:trPr>
        <w:tc>
          <w:tcPr>
            <w:tcW w:w="166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8"/>
        </w:trPr>
        <w:tc>
          <w:tcPr>
            <w:tcW w:w="1660" w:type="dxa"/>
            <w:vAlign w:val="bottom"/>
          </w:tcPr>
          <w:p>
            <w:pPr>
              <w:spacing w:after="0"/>
              <w:rPr>
                <w:sz w:val="23"/>
                <w:szCs w:val="23"/>
                <w:color w:val="auto"/>
              </w:rPr>
            </w:pPr>
          </w:p>
        </w:tc>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860" w:type="dxa"/>
            <w:vAlign w:val="bottom"/>
            <w:tcBorders>
              <w:bottom w:val="single" w:sz="8" w:color="CCEEFF"/>
            </w:tcBorders>
            <w:gridSpan w:val="6"/>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5.13%</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1300" w:type="dxa"/>
            <w:vAlign w:val="bottom"/>
          </w:tcPr>
          <w:p>
            <w:pPr>
              <w:spacing w:after="0"/>
              <w:rPr>
                <w:sz w:val="23"/>
                <w:szCs w:val="23"/>
                <w:color w:val="auto"/>
              </w:rPr>
            </w:pPr>
          </w:p>
        </w:tc>
      </w:tr>
      <w:tr>
        <w:trPr>
          <w:trHeight w:val="338"/>
        </w:trPr>
        <w:tc>
          <w:tcPr>
            <w:tcW w:w="77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As of September 30, 2025, the future maturity of lease liabilities is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83"/>
        </w:trPr>
        <w:tc>
          <w:tcPr>
            <w:tcW w:w="16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300" w:type="dxa"/>
            <w:vAlign w:val="bottom"/>
          </w:tcPr>
          <w:p>
            <w:pPr>
              <w:spacing w:after="0"/>
              <w:rPr>
                <w:sz w:val="24"/>
                <w:szCs w:val="24"/>
                <w:color w:val="auto"/>
              </w:rPr>
            </w:pPr>
          </w:p>
        </w:tc>
      </w:tr>
      <w:tr>
        <w:trPr>
          <w:trHeight w:val="190"/>
        </w:trPr>
        <w:tc>
          <w:tcPr>
            <w:tcW w:w="166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lease</w:t>
            </w:r>
          </w:p>
        </w:tc>
        <w:tc>
          <w:tcPr>
            <w:tcW w:w="1300" w:type="dxa"/>
            <w:vAlign w:val="bottom"/>
          </w:tcPr>
          <w:p>
            <w:pPr>
              <w:spacing w:after="0"/>
              <w:rPr>
                <w:sz w:val="16"/>
                <w:szCs w:val="16"/>
                <w:color w:val="auto"/>
              </w:rPr>
            </w:pPr>
          </w:p>
        </w:tc>
      </w:tr>
      <w:tr>
        <w:trPr>
          <w:trHeight w:val="23"/>
        </w:trPr>
        <w:tc>
          <w:tcPr>
            <w:tcW w:w="7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60" w:type="dxa"/>
            <w:vAlign w:val="bottom"/>
          </w:tcPr>
          <w:p>
            <w:pPr>
              <w:spacing w:after="0"/>
              <w:rPr>
                <w:sz w:val="21"/>
                <w:szCs w:val="21"/>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ending March 31, 2026</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$214,809</w:t>
            </w:r>
          </w:p>
        </w:tc>
        <w:tc>
          <w:tcPr>
            <w:tcW w:w="1300" w:type="dxa"/>
            <w:vAlign w:val="bottom"/>
          </w:tcPr>
          <w:p>
            <w:pPr>
              <w:spacing w:after="0"/>
              <w:rPr>
                <w:sz w:val="21"/>
                <w:szCs w:val="21"/>
                <w:color w:val="auto"/>
              </w:rPr>
            </w:pPr>
          </w:p>
        </w:tc>
      </w:tr>
      <w:tr>
        <w:trPr>
          <w:trHeight w:val="234"/>
        </w:trPr>
        <w:tc>
          <w:tcPr>
            <w:tcW w:w="166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(3,623)</w:t>
            </w:r>
          </w:p>
        </w:tc>
        <w:tc>
          <w:tcPr>
            <w:tcW w:w="1300" w:type="dxa"/>
            <w:vAlign w:val="bottom"/>
          </w:tcPr>
          <w:p>
            <w:pPr>
              <w:spacing w:after="0"/>
              <w:rPr>
                <w:sz w:val="20"/>
                <w:szCs w:val="20"/>
                <w:color w:val="auto"/>
              </w:rPr>
            </w:pPr>
          </w:p>
        </w:tc>
      </w:tr>
      <w:tr>
        <w:trPr>
          <w:trHeight w:val="22"/>
        </w:trPr>
        <w:tc>
          <w:tcPr>
            <w:tcW w:w="7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0"/>
        </w:trPr>
        <w:tc>
          <w:tcPr>
            <w:tcW w:w="1660" w:type="dxa"/>
            <w:vAlign w:val="bottom"/>
          </w:tcPr>
          <w:p>
            <w:pPr>
              <w:spacing w:after="0"/>
              <w:rPr>
                <w:sz w:val="23"/>
                <w:szCs w:val="23"/>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80" w:type="dxa"/>
            <w:vAlign w:val="bottom"/>
            <w:tcBorders>
              <w:right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211,186</w:t>
            </w:r>
          </w:p>
        </w:tc>
        <w:tc>
          <w:tcPr>
            <w:tcW w:w="1300" w:type="dxa"/>
            <w:vAlign w:val="bottom"/>
          </w:tcPr>
          <w:p>
            <w:pPr>
              <w:spacing w:after="0"/>
              <w:rPr>
                <w:sz w:val="23"/>
                <w:szCs w:val="23"/>
                <w:color w:val="auto"/>
              </w:rPr>
            </w:pPr>
          </w:p>
        </w:tc>
      </w:tr>
      <w:tr>
        <w:trPr>
          <w:trHeight w:val="20"/>
        </w:trPr>
        <w:tc>
          <w:tcPr>
            <w:tcW w:w="1660" w:type="dxa"/>
            <w:vAlign w:val="bottom"/>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25"/>
        </w:trPr>
        <w:tc>
          <w:tcPr>
            <w:tcW w:w="77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77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96"/>
        </w:trPr>
        <w:tc>
          <w:tcPr>
            <w:tcW w:w="16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1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300" w:type="dxa"/>
            <w:vAlign w:val="bottom"/>
          </w:tcPr>
          <w:p>
            <w:pPr>
              <w:spacing w:after="0"/>
              <w:rPr>
                <w:sz w:val="24"/>
                <w:szCs w:val="24"/>
                <w:color w:val="auto"/>
              </w:rPr>
            </w:pPr>
          </w:p>
        </w:tc>
      </w:tr>
      <w:tr>
        <w:trPr>
          <w:trHeight w:val="190"/>
        </w:trPr>
        <w:tc>
          <w:tcPr>
            <w:tcW w:w="166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9"/>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Pr>
          <w:p>
            <w:pPr>
              <w:spacing w:after="0"/>
              <w:rPr>
                <w:sz w:val="16"/>
                <w:szCs w:val="16"/>
                <w:color w:val="auto"/>
              </w:rPr>
            </w:pPr>
          </w:p>
        </w:tc>
      </w:tr>
      <w:tr>
        <w:trPr>
          <w:trHeight w:val="23"/>
        </w:trPr>
        <w:tc>
          <w:tcPr>
            <w:tcW w:w="16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66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8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7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60" w:type="dxa"/>
            <w:vAlign w:val="bottom"/>
          </w:tcPr>
          <w:p>
            <w:pPr>
              <w:spacing w:after="0"/>
              <w:rPr>
                <w:sz w:val="21"/>
                <w:szCs w:val="21"/>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r>
      <w:tr>
        <w:trPr>
          <w:trHeight w:val="250"/>
        </w:trPr>
        <w:tc>
          <w:tcPr>
            <w:tcW w:w="1660" w:type="dxa"/>
            <w:vAlign w:val="bottom"/>
          </w:tcPr>
          <w:p>
            <w:pPr>
              <w:spacing w:after="0"/>
              <w:rPr>
                <w:sz w:val="21"/>
                <w:szCs w:val="21"/>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tcPr>
          <w:p>
            <w:pPr>
              <w:spacing w:after="0"/>
              <w:rPr>
                <w:sz w:val="21"/>
                <w:szCs w:val="21"/>
                <w:color w:val="auto"/>
              </w:rPr>
            </w:pPr>
          </w:p>
        </w:tc>
        <w:tc>
          <w:tcPr>
            <w:tcW w:w="140" w:type="dxa"/>
            <w:vAlign w:val="bottom"/>
            <w:gridSpan w:val="2"/>
          </w:tcPr>
          <w:p>
            <w:pPr>
              <w:spacing w:after="0"/>
              <w:rPr>
                <w:sz w:val="21"/>
                <w:szCs w:val="21"/>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77,138</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97"/>
        </w:trPr>
        <w:tc>
          <w:tcPr>
            <w:tcW w:w="1660" w:type="dxa"/>
            <w:vAlign w:val="bottom"/>
          </w:tcPr>
          <w:p>
            <w:pPr>
              <w:spacing w:after="0"/>
              <w:rPr>
                <w:sz w:val="24"/>
                <w:szCs w:val="24"/>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77,138</w:t>
            </w:r>
          </w:p>
        </w:tc>
        <w:tc>
          <w:tcPr>
            <w:tcW w:w="1300" w:type="dxa"/>
            <w:vAlign w:val="bottom"/>
          </w:tcPr>
          <w:p>
            <w:pPr>
              <w:spacing w:after="0"/>
              <w:rPr>
                <w:sz w:val="24"/>
                <w:szCs w:val="24"/>
                <w:color w:val="auto"/>
              </w:rPr>
            </w:pPr>
          </w:p>
        </w:tc>
      </w:tr>
      <w:tr>
        <w:trPr>
          <w:trHeight w:val="425"/>
        </w:trPr>
        <w:tc>
          <w:tcPr>
            <w:tcW w:w="1660" w:type="dxa"/>
            <w:vAlign w:val="bottom"/>
          </w:tcPr>
          <w:p>
            <w:pPr>
              <w:spacing w:after="0"/>
              <w:rPr>
                <w:sz w:val="24"/>
                <w:szCs w:val="24"/>
                <w:color w:val="auto"/>
              </w:rPr>
            </w:pPr>
          </w:p>
        </w:tc>
        <w:tc>
          <w:tcPr>
            <w:tcW w:w="6080" w:type="dxa"/>
            <w:vAlign w:val="bottom"/>
            <w:tcBorders>
              <w:top w:val="single" w:sz="8" w:color="CCEEFF"/>
            </w:tcBorders>
          </w:tcPr>
          <w:p>
            <w:pPr>
              <w:ind w:left="3680"/>
              <w:spacing w:after="0"/>
              <w:rPr>
                <w:sz w:val="20"/>
                <w:szCs w:val="20"/>
                <w:color w:val="auto"/>
              </w:rPr>
            </w:pPr>
            <w:r>
              <w:rPr>
                <w:rFonts w:ascii="Times New Roman" w:cs="Times New Roman" w:eastAsia="Times New Roman" w:hAnsi="Times New Roman"/>
                <w:sz w:val="18"/>
                <w:szCs w:val="18"/>
                <w:color w:val="auto"/>
              </w:rPr>
              <w:t>F-14</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660" w:type="dxa"/>
            <w:vAlign w:val="bottom"/>
            <w:tcBorders>
              <w:bottom w:val="single" w:sz="8" w:color="auto"/>
            </w:tcBorders>
          </w:tcPr>
          <w:p>
            <w:pPr>
              <w:spacing w:after="0"/>
              <w:rPr>
                <w:sz w:val="15"/>
                <w:szCs w:val="15"/>
                <w:color w:val="auto"/>
              </w:rPr>
            </w:pPr>
          </w:p>
        </w:tc>
        <w:tc>
          <w:tcPr>
            <w:tcW w:w="6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13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For the six months ended September 30, 2024, as a result of the Company’s inability to establish a reliable estimate for the annual effective tax rate, the Company calculated income tax expense using the actual effective tax rate year to date, as opposed to the estimated annual effective tax rate. A reconciliation between the Group’s effective income tax rate and the provision under Hong Kong statutory tax rate is as follows:</w:t>
      </w:r>
    </w:p>
    <w:p>
      <w:pPr>
        <w:spacing w:after="0" w:line="200" w:lineRule="exact"/>
        <w:rPr>
          <w:sz w:val="20"/>
          <w:szCs w:val="20"/>
          <w:color w:val="auto"/>
        </w:rPr>
      </w:pPr>
    </w:p>
    <w:p>
      <w:pPr>
        <w:spacing w:after="0" w:line="230"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22225</wp:posOffset>
            </wp:positionV>
            <wp:extent cx="12344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$8,366,642</w:t>
            </w:r>
          </w:p>
        </w:tc>
        <w:tc>
          <w:tcPr>
            <w:tcW w:w="6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$1,225,393</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Tax at applicable income tax rate (16.5%)</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1,380,496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202,190</w:t>
            </w:r>
          </w:p>
        </w:tc>
        <w:tc>
          <w:tcPr>
            <w:tcW w:w="80" w:type="dxa"/>
            <w:vAlign w:val="bottom"/>
          </w:tcPr>
          <w:p>
            <w:pPr>
              <w:spacing w:after="0"/>
              <w:rPr>
                <w:sz w:val="20"/>
                <w:szCs w:val="20"/>
                <w:color w:val="auto"/>
              </w:rPr>
            </w:pPr>
          </w:p>
        </w:tc>
      </w:tr>
      <w:tr>
        <w:trPr>
          <w:trHeight w:val="2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different tax rates in other jurisdictions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(376,714)</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(120,430)</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on non-taxable income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r>
      <w:tr>
        <w:trPr>
          <w:trHeight w:val="2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non-deductible expenses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(142,672)</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(4,648)</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on tax losses not recognized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9"/>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change in valuation allowance</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(860,449)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4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77,138</w:t>
            </w:r>
          </w:p>
        </w:tc>
        <w:tc>
          <w:tcPr>
            <w:tcW w:w="80" w:type="dxa"/>
            <w:vAlign w:val="bottom"/>
          </w:tcPr>
          <w:p>
            <w:pPr>
              <w:spacing w:after="0"/>
              <w:rPr>
                <w:sz w:val="21"/>
                <w:szCs w:val="21"/>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660" w:right="319"/>
        <w:spacing w:after="0" w:line="282" w:lineRule="auto"/>
        <w:rPr>
          <w:sz w:val="20"/>
          <w:szCs w:val="20"/>
          <w:color w:val="auto"/>
        </w:rPr>
      </w:pPr>
      <w:r>
        <w:rPr>
          <w:rFonts w:ascii="Times New Roman" w:cs="Times New Roman" w:eastAsia="Times New Roman" w:hAnsi="Times New Roman"/>
          <w:sz w:val="18"/>
          <w:szCs w:val="18"/>
          <w:color w:val="auto"/>
        </w:rPr>
        <w:t>As of September 30, 2025 and March 31, 2025, the significant components of the deferred tax assets were summarized below:</w:t>
      </w:r>
    </w:p>
    <w:p>
      <w:pPr>
        <w:spacing w:after="0" w:line="39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960" w:type="dxa"/>
            <w:vAlign w:val="bottom"/>
          </w:tcPr>
          <w:p>
            <w:pPr>
              <w:spacing w:after="0"/>
              <w:rPr>
                <w:sz w:val="12"/>
                <w:szCs w:val="12"/>
                <w:color w:val="auto"/>
              </w:rPr>
            </w:pPr>
          </w:p>
        </w:tc>
        <w:tc>
          <w:tcPr>
            <w:tcW w:w="9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March 31, 2025</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1,239,510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614,768</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Temporary difference from share-based compensation expenses</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1,233,828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848,574</w:t>
            </w:r>
          </w:p>
        </w:tc>
        <w:tc>
          <w:tcPr>
            <w:tcW w:w="0" w:type="dxa"/>
            <w:vAlign w:val="bottom"/>
          </w:tcPr>
          <w:p>
            <w:pPr>
              <w:spacing w:after="0"/>
              <w:rPr>
                <w:sz w:val="1"/>
                <w:szCs w:val="1"/>
                <w:color w:val="auto"/>
              </w:rPr>
            </w:pPr>
          </w:p>
        </w:tc>
      </w:tr>
      <w:tr>
        <w:trPr>
          <w:trHeight w:val="25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from the equity method investment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122,819</w:t>
            </w: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2,598,792</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1,482,578</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(2,598,792)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(1,482,578)</w:t>
            </w:r>
          </w:p>
        </w:tc>
        <w:tc>
          <w:tcPr>
            <w:tcW w:w="0" w:type="dxa"/>
            <w:vAlign w:val="bottom"/>
          </w:tcPr>
          <w:p>
            <w:pPr>
              <w:spacing w:after="0"/>
              <w:rPr>
                <w:sz w:val="1"/>
                <w:szCs w:val="1"/>
                <w:color w:val="auto"/>
              </w:rPr>
            </w:pPr>
          </w:p>
        </w:tc>
      </w:tr>
      <w:tr>
        <w:trPr>
          <w:trHeight w:val="22"/>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The realization of deferred tax assets is dependent upon the generation of sufficient taxable income of the appropriate character in future periods. The Group regularly assesses the ability to realize its deferred tax assets and establishes a valuation allowance if it is more-likely-than-not that some portion of the deferred tax assets will not be realized. The Group weighs all available positive and negative evidence, including its earnings history and results of recent operations, projected future taxable income, and tax planning strategies.</w:t>
      </w:r>
    </w:p>
    <w:p>
      <w:pPr>
        <w:spacing w:after="0" w:line="75" w:lineRule="exact"/>
        <w:rPr>
          <w:sz w:val="20"/>
          <w:szCs w:val="20"/>
          <w:color w:val="auto"/>
        </w:rPr>
      </w:pPr>
    </w:p>
    <w:p>
      <w:pPr>
        <w:jc w:val="both"/>
        <w:ind w:left="660" w:right="319"/>
        <w:spacing w:after="0" w:line="258" w:lineRule="auto"/>
        <w:rPr>
          <w:sz w:val="20"/>
          <w:szCs w:val="20"/>
          <w:color w:val="auto"/>
        </w:rPr>
      </w:pPr>
      <w:r>
        <w:rPr>
          <w:rFonts w:ascii="Times New Roman" w:cs="Times New Roman" w:eastAsia="Times New Roman" w:hAnsi="Times New Roman"/>
          <w:sz w:val="18"/>
          <w:szCs w:val="18"/>
          <w:color w:val="auto"/>
        </w:rPr>
        <w:t>As of September 30, 2025 and March 31, 2025, the Group had accumulated net operating loss carryforwards of $7.5 million and $3.7 million, respectively. For entities incorporated in Hong Kong, net loss can be carried forward indefinitely. As of September 30, 2025, the Company continues to maintain a full valuation allowance against the deferred tax assets due to significant negative evidence, the Company’s assessment that it is not more likely than not that the deferred tax assets will be realized.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9" w:lineRule="exact"/>
        <w:rPr>
          <w:sz w:val="20"/>
          <w:szCs w:val="20"/>
          <w:color w:val="auto"/>
        </w:rPr>
      </w:pPr>
    </w:p>
    <w:p>
      <w:pPr>
        <w:ind w:left="640" w:hanging="348"/>
        <w:spacing w:after="0"/>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DISAGGREGATED REVENUE</w:t>
      </w:r>
    </w:p>
    <w:p>
      <w:pPr>
        <w:spacing w:after="0" w:line="98" w:lineRule="exact"/>
        <w:rPr>
          <w:rFonts w:ascii="Times New Roman" w:cs="Times New Roman" w:eastAsia="Times New Roman" w:hAnsi="Times New Roman"/>
          <w:sz w:val="18"/>
          <w:szCs w:val="18"/>
          <w:b w:val="1"/>
          <w:bCs w:val="1"/>
          <w:color w:val="auto"/>
        </w:rPr>
      </w:pPr>
    </w:p>
    <w:p>
      <w:pPr>
        <w:ind w:left="660" w:right="3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information shown in the above disclosures, the revenue from contracts with customers within FASB ASC 606 and other sources of revenue is disaggregated as follow: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60" w:type="dxa"/>
            <w:vAlign w:val="bottom"/>
            <w:gridSpan w:val="13"/>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75"/>
              <w:spacing w:after="0" w:line="145" w:lineRule="exact"/>
              <w:rPr>
                <w:sz w:val="20"/>
                <w:szCs w:val="20"/>
                <w:color w:val="auto"/>
              </w:rPr>
            </w:pPr>
            <w:r>
              <w:rPr>
                <w:rFonts w:ascii="Times New Roman" w:cs="Times New Roman" w:eastAsia="Times New Roman" w:hAnsi="Times New Roman"/>
                <w:sz w:val="14"/>
                <w:szCs w:val="14"/>
                <w:b w:val="1"/>
                <w:bCs w:val="1"/>
                <w:color w:val="auto"/>
              </w:rPr>
              <w:t>Point in</w:t>
            </w:r>
          </w:p>
        </w:tc>
        <w:tc>
          <w:tcPr>
            <w:tcW w:w="200" w:type="dxa"/>
            <w:vAlign w:val="bottom"/>
          </w:tcPr>
          <w:p>
            <w:pPr>
              <w:spacing w:after="0"/>
              <w:rPr>
                <w:sz w:val="12"/>
                <w:szCs w:val="12"/>
                <w:color w:val="auto"/>
              </w:rPr>
            </w:pPr>
          </w:p>
        </w:tc>
        <w:tc>
          <w:tcPr>
            <w:tcW w:w="820" w:type="dxa"/>
            <w:vAlign w:val="bottom"/>
            <w:gridSpan w:val="2"/>
          </w:tcPr>
          <w:p>
            <w:pPr>
              <w:ind w:left="240"/>
              <w:spacing w:after="0" w:line="145" w:lineRule="exact"/>
              <w:rPr>
                <w:sz w:val="20"/>
                <w:szCs w:val="20"/>
                <w:color w:val="auto"/>
              </w:rPr>
            </w:pPr>
            <w:r>
              <w:rPr>
                <w:rFonts w:ascii="Times New Roman" w:cs="Times New Roman" w:eastAsia="Times New Roman" w:hAnsi="Times New Roman"/>
                <w:sz w:val="14"/>
                <w:szCs w:val="14"/>
                <w:b w:val="1"/>
                <w:bCs w:val="1"/>
                <w:color w:val="auto"/>
              </w:rPr>
              <w:t>Over</w:t>
            </w:r>
          </w:p>
        </w:tc>
        <w:tc>
          <w:tcPr>
            <w:tcW w:w="180" w:type="dxa"/>
            <w:vAlign w:val="bottom"/>
          </w:tcPr>
          <w:p>
            <w:pPr>
              <w:spacing w:after="0"/>
              <w:rPr>
                <w:sz w:val="12"/>
                <w:szCs w:val="12"/>
                <w:color w:val="auto"/>
              </w:rPr>
            </w:pPr>
          </w:p>
        </w:tc>
        <w:tc>
          <w:tcPr>
            <w:tcW w:w="8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82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Point in</w:t>
            </w:r>
          </w:p>
        </w:tc>
        <w:tc>
          <w:tcPr>
            <w:tcW w:w="200" w:type="dxa"/>
            <w:vAlign w:val="bottom"/>
          </w:tcPr>
          <w:p>
            <w:pPr>
              <w:spacing w:after="0"/>
              <w:rPr>
                <w:sz w:val="12"/>
                <w:szCs w:val="12"/>
                <w:color w:val="auto"/>
              </w:rPr>
            </w:pPr>
          </w:p>
        </w:tc>
        <w:tc>
          <w:tcPr>
            <w:tcW w:w="82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Over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time</w:t>
            </w:r>
          </w:p>
        </w:tc>
        <w:tc>
          <w:tcPr>
            <w:tcW w:w="200" w:type="dxa"/>
            <w:vAlign w:val="bottom"/>
          </w:tcPr>
          <w:p>
            <w:pPr>
              <w:spacing w:after="0"/>
              <w:rPr>
                <w:sz w:val="16"/>
                <w:szCs w:val="16"/>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time</w:t>
            </w:r>
          </w:p>
        </w:tc>
        <w:tc>
          <w:tcPr>
            <w:tcW w:w="1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time</w:t>
            </w:r>
          </w:p>
        </w:tc>
        <w:tc>
          <w:tcPr>
            <w:tcW w:w="200" w:type="dxa"/>
            <w:vAlign w:val="bottom"/>
          </w:tcPr>
          <w:p>
            <w:pPr>
              <w:spacing w:after="0"/>
              <w:rPr>
                <w:sz w:val="16"/>
                <w:szCs w:val="16"/>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time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from contracts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with customers</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Brokerage and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commission income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commission and</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handling charge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$2,709,354</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$2,709,354</w:t>
            </w:r>
          </w:p>
        </w:tc>
        <w:tc>
          <w:tcPr>
            <w:tcW w:w="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$67,888</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67,888</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Brokerage commission and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handling charge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related party*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1,390,497</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1,390,497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892,837</w:t>
            </w:r>
          </w:p>
        </w:tc>
        <w:tc>
          <w:tcPr>
            <w:tcW w:w="20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892,837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 distribution</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 income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65,534</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65,534</w:t>
            </w:r>
          </w:p>
        </w:tc>
        <w:tc>
          <w:tcPr>
            <w:tcW w:w="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328,659</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328,659</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 financing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507,872</w:t>
            </w:r>
          </w:p>
        </w:tc>
        <w:tc>
          <w:tcPr>
            <w:tcW w:w="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507,872</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 related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452,808</w:t>
            </w:r>
          </w:p>
        </w:tc>
        <w:tc>
          <w:tcPr>
            <w:tcW w:w="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452,808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520,183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520,183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Software licensing</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(including subscription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based) and related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support services</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61,498</w:t>
            </w:r>
          </w:p>
        </w:tc>
        <w:tc>
          <w:tcPr>
            <w:tcW w:w="2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61,498</w:t>
            </w: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M&amp;S</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46,134</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46,134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M&amp;S – related party</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Principal transactions &amp;</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proprietary trading</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315,337</w:t>
            </w:r>
          </w:p>
        </w:tc>
        <w:tc>
          <w:tcPr>
            <w:tcW w:w="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4,165,385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1,937,515</w:t>
            </w:r>
          </w:p>
        </w:tc>
        <w:tc>
          <w:tcPr>
            <w:tcW w:w="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6,102,900</w:t>
            </w:r>
          </w:p>
        </w:tc>
        <w:tc>
          <w:tcPr>
            <w:tcW w:w="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1,789,384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1,168,879</w:t>
            </w:r>
          </w:p>
        </w:tc>
        <w:tc>
          <w:tcPr>
            <w:tcW w:w="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2,958,263</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1000" w:right="319" w:hanging="348"/>
        <w:spacing w:after="0" w:line="261" w:lineRule="auto"/>
        <w:tabs>
          <w:tab w:leader="none" w:pos="10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handling charge income, including amounts from a related party, was $2,206,955 and $16,558 for the six months ended September 30, 2025 and 2024,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9" w:lineRule="exact"/>
        <w:rPr>
          <w:sz w:val="20"/>
          <w:szCs w:val="20"/>
          <w:color w:val="auto"/>
        </w:rPr>
      </w:pPr>
    </w:p>
    <w:p>
      <w:pPr>
        <w:ind w:left="1640" w:hanging="348"/>
        <w:spacing w:after="0"/>
        <w:tabs>
          <w:tab w:leader="none" w:pos="1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2" w:lineRule="exact"/>
        <w:rPr>
          <w:rFonts w:ascii="Times New Roman" w:cs="Times New Roman" w:eastAsia="Times New Roman" w:hAnsi="Times New Roman"/>
          <w:sz w:val="18"/>
          <w:szCs w:val="18"/>
          <w:b w:val="1"/>
          <w:bCs w:val="1"/>
          <w:color w:val="auto"/>
        </w:rPr>
      </w:pPr>
    </w:p>
    <w:p>
      <w:pPr>
        <w:ind w:left="1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sets forth major related parties of the Group and their relationships with the Group.</w:t>
      </w:r>
    </w:p>
    <w:p>
      <w:pPr>
        <w:spacing w:after="0" w:line="259" w:lineRule="exact"/>
        <w:rPr>
          <w:sz w:val="20"/>
          <w:szCs w:val="20"/>
          <w:color w:val="auto"/>
        </w:rPr>
      </w:pPr>
    </w:p>
    <w:tbl>
      <w:tblPr>
        <w:tblLayout w:type="fixed"/>
        <w:tblInd w:w="1660" w:type="dxa"/>
        <w:tblCellMar>
          <w:top w:w="0" w:type="dxa"/>
          <w:left w:w="0" w:type="dxa"/>
          <w:bottom w:w="0" w:type="dxa"/>
          <w:right w:w="0" w:type="dxa"/>
        </w:tblCellMar>
      </w:tblPr>
      <w:tr>
        <w:trPr>
          <w:trHeight w:val="195"/>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Names of related parties</w:t>
            </w:r>
          </w:p>
        </w:tc>
        <w:tc>
          <w:tcPr>
            <w:tcW w:w="200" w:type="dxa"/>
            <w:vAlign w:val="bottom"/>
          </w:tcPr>
          <w:p>
            <w:pPr>
              <w:spacing w:after="0"/>
              <w:rPr>
                <w:sz w:val="16"/>
                <w:szCs w:val="16"/>
                <w:color w:val="auto"/>
              </w:rPr>
            </w:pPr>
          </w:p>
        </w:tc>
        <w:tc>
          <w:tcPr>
            <w:tcW w:w="39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Relationship</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Zhou Kai</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 shareholder, chief technology officer,</w:t>
            </w:r>
          </w:p>
        </w:tc>
      </w:tr>
      <w:tr>
        <w:trPr>
          <w:trHeight w:val="234"/>
        </w:trPr>
        <w:tc>
          <w:tcPr>
            <w:tcW w:w="3920" w:type="dxa"/>
            <w:vAlign w:val="bottom"/>
          </w:tcPr>
          <w:p>
            <w:pPr>
              <w:spacing w:after="0"/>
              <w:rPr>
                <w:sz w:val="20"/>
                <w:szCs w:val="20"/>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46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Shenzhen Jinhui Technology Co., Ltd.</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 company previously controlled by Zhou Kai, which</w:t>
            </w: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(“Shenzhen Jinhui”)</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ceased to be a related party in the fourth quarter in</w:t>
            </w:r>
          </w:p>
        </w:tc>
      </w:tr>
      <w:tr>
        <w:trPr>
          <w:trHeight w:val="234"/>
        </w:trPr>
        <w:tc>
          <w:tcPr>
            <w:tcW w:w="3920" w:type="dxa"/>
            <w:vAlign w:val="bottom"/>
          </w:tcPr>
          <w:p>
            <w:pPr>
              <w:spacing w:after="0"/>
              <w:rPr>
                <w:sz w:val="20"/>
                <w:szCs w:val="20"/>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2025.</w:t>
            </w:r>
          </w:p>
        </w:tc>
      </w:tr>
      <w:tr>
        <w:trPr>
          <w:trHeight w:val="46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Wealth Guardian Investment Limited (“WGI”)</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Group is able to exercise significant influence</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 WGI because two individuals, who are the senior</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management of WGI, are the shareholders of the</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 holding more than or approximately 10%</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aggregate equity interests for the six months ended</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Effective October 2025, WGI has dissolved</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investment accounts in WSI, therefore, WGI is no</w:t>
            </w:r>
          </w:p>
        </w:tc>
      </w:tr>
      <w:tr>
        <w:trPr>
          <w:trHeight w:val="234"/>
        </w:trPr>
        <w:tc>
          <w:tcPr>
            <w:tcW w:w="3920" w:type="dxa"/>
            <w:vAlign w:val="bottom"/>
          </w:tcPr>
          <w:p>
            <w:pPr>
              <w:spacing w:after="0"/>
              <w:rPr>
                <w:sz w:val="20"/>
                <w:szCs w:val="20"/>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longer a customer of WSI after October 2025.</w:t>
            </w:r>
          </w:p>
        </w:tc>
      </w:tr>
      <w:tr>
        <w:trPr>
          <w:trHeight w:val="46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Waton Trust Limited</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 entity where Zhou Kai previously acted as a</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In the third quarter of 2025, Zhou Kai</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resigned from the directorship and remained as a 20%</w:t>
            </w:r>
          </w:p>
        </w:tc>
      </w:tr>
      <w:tr>
        <w:trPr>
          <w:trHeight w:val="234"/>
        </w:trPr>
        <w:tc>
          <w:tcPr>
            <w:tcW w:w="3920" w:type="dxa"/>
            <w:vAlign w:val="bottom"/>
          </w:tcPr>
          <w:p>
            <w:pPr>
              <w:spacing w:after="0"/>
              <w:rPr>
                <w:sz w:val="20"/>
                <w:szCs w:val="20"/>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shareholder.</w:t>
            </w:r>
          </w:p>
        </w:tc>
      </w:tr>
      <w:tr>
        <w:trPr>
          <w:trHeight w:val="46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WIG SPC-SPs</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 entity incorporated in the Cayman Islands, with</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100% of its issued management shares owned by</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WSI, established for the purpose of holding</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investment segregated portfolios (each, an “SP” and</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collectively, the “SPs”). The SPs are each formed for</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purpose of investing in securities and are owned</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 different investors. Effective December 2024, WSI</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serves as the investment manager of the WIG SPC</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series SPs. During the six months ended September</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30, 2025, there was no management income incurred,</w:t>
            </w:r>
          </w:p>
        </w:tc>
      </w:tr>
      <w:tr>
        <w:trPr>
          <w:trHeight w:val="216"/>
        </w:trPr>
        <w:tc>
          <w:tcPr>
            <w:tcW w:w="39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WSI was subsequently re-appointed as a</w:t>
            </w:r>
          </w:p>
        </w:tc>
      </w:tr>
      <w:tr>
        <w:trPr>
          <w:trHeight w:val="234"/>
        </w:trPr>
        <w:tc>
          <w:tcPr>
            <w:tcW w:w="3920" w:type="dxa"/>
            <w:vAlign w:val="bottom"/>
          </w:tcPr>
          <w:p>
            <w:pPr>
              <w:spacing w:after="0"/>
              <w:rPr>
                <w:sz w:val="20"/>
                <w:szCs w:val="20"/>
                <w:color w:val="auto"/>
              </w:rPr>
            </w:pP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coinvestment manager for Z Navigation Option.</w:t>
            </w:r>
          </w:p>
        </w:tc>
      </w:tr>
    </w:tbl>
    <w:p>
      <w:pPr>
        <w:spacing w:after="0" w:line="2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u w:val="single" w:color="auto"/>
          <w:color w:val="auto"/>
        </w:rPr>
        <w:t>Transactions with WGI</w:t>
      </w:r>
    </w:p>
    <w:p>
      <w:pPr>
        <w:spacing w:after="0" w:line="117" w:lineRule="exact"/>
        <w:rPr>
          <w:sz w:val="20"/>
          <w:szCs w:val="20"/>
          <w:color w:val="auto"/>
        </w:rPr>
      </w:pPr>
    </w:p>
    <w:p>
      <w:pPr>
        <w:jc w:val="both"/>
        <w:ind w:left="1660" w:right="1300"/>
        <w:spacing w:after="0" w:line="282" w:lineRule="auto"/>
        <w:rPr>
          <w:sz w:val="20"/>
          <w:szCs w:val="20"/>
          <w:color w:val="auto"/>
        </w:rPr>
      </w:pPr>
      <w:r>
        <w:rPr>
          <w:rFonts w:ascii="Times New Roman" w:cs="Times New Roman" w:eastAsia="Times New Roman" w:hAnsi="Times New Roman"/>
          <w:sz w:val="18"/>
          <w:szCs w:val="18"/>
          <w:color w:val="auto"/>
        </w:rPr>
        <w:t>The Group conducts material transactions with WGI through WSI and/or WTI, which entities are service providers for WGI. These transactions and related balances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r>
      <w:tr>
        <w:trPr>
          <w:trHeight w:val="149"/>
        </w:trPr>
        <w:tc>
          <w:tcPr>
            <w:tcW w:w="16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220" w:type="dxa"/>
            <w:vAlign w:val="bottom"/>
            <w:gridSpan w:val="5"/>
          </w:tcPr>
          <w:p>
            <w:pPr>
              <w:jc w:val="center"/>
              <w:ind w:left="256"/>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2"/>
                <w:szCs w:val="12"/>
                <w:color w:val="auto"/>
              </w:rPr>
            </w:pPr>
          </w:p>
        </w:tc>
        <w:tc>
          <w:tcPr>
            <w:tcW w:w="9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Pr>
          <w:p>
            <w:pPr>
              <w:spacing w:after="0"/>
              <w:rPr>
                <w:sz w:val="12"/>
                <w:szCs w:val="12"/>
                <w:color w:val="auto"/>
              </w:rPr>
            </w:pPr>
          </w:p>
        </w:tc>
      </w:tr>
      <w:tr>
        <w:trPr>
          <w:trHeight w:val="195"/>
        </w:trPr>
        <w:tc>
          <w:tcPr>
            <w:tcW w:w="16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55"/>
        </w:trPr>
        <w:tc>
          <w:tcPr>
            <w:tcW w:w="1660" w:type="dxa"/>
            <w:vAlign w:val="bottom"/>
          </w:tcPr>
          <w:p>
            <w:pPr>
              <w:spacing w:after="0"/>
              <w:rPr>
                <w:sz w:val="22"/>
                <w:szCs w:val="22"/>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 clients – unsettled trade</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w w:val="95"/>
              </w:rPr>
              <w:t>  $1,549,709</w:t>
            </w:r>
          </w:p>
        </w:tc>
        <w:tc>
          <w:tcPr>
            <w:tcW w:w="1300" w:type="dxa"/>
            <w:vAlign w:val="bottom"/>
          </w:tcPr>
          <w:p>
            <w:pPr>
              <w:spacing w:after="0"/>
              <w:rPr>
                <w:sz w:val="22"/>
                <w:szCs w:val="22"/>
                <w:color w:val="auto"/>
              </w:rPr>
            </w:pPr>
          </w:p>
        </w:tc>
      </w:tr>
      <w:tr>
        <w:trPr>
          <w:trHeight w:val="284"/>
        </w:trPr>
        <w:tc>
          <w:tcPr>
            <w:tcW w:w="1660" w:type="dxa"/>
            <w:vAlign w:val="bottom"/>
          </w:tcPr>
          <w:p>
            <w:pPr>
              <w:spacing w:after="0"/>
              <w:rPr>
                <w:sz w:val="24"/>
                <w:szCs w:val="24"/>
                <w:color w:val="auto"/>
              </w:rPr>
            </w:pPr>
          </w:p>
        </w:tc>
        <w:tc>
          <w:tcPr>
            <w:tcW w:w="55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Receivables – clients – margin loan (net)</w:t>
            </w:r>
            <w:r>
              <w:rPr>
                <w:rFonts w:ascii="Times New Roman" w:cs="Times New Roman" w:eastAsia="Times New Roman" w:hAnsi="Times New Roman"/>
                <w:sz w:val="29"/>
                <w:szCs w:val="29"/>
                <w:color w:val="auto"/>
                <w:vertAlign w:val="superscript"/>
              </w:rPr>
              <w:t>(i)(ii)</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3,276,678</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1"/>
        </w:trPr>
        <w:tc>
          <w:tcPr>
            <w:tcW w:w="16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 software licensing (including subscription based) and related</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314"/>
        </w:trPr>
        <w:tc>
          <w:tcPr>
            <w:tcW w:w="1660" w:type="dxa"/>
            <w:vAlign w:val="bottom"/>
          </w:tcPr>
          <w:p>
            <w:pPr>
              <w:spacing w:after="0"/>
              <w:rPr>
                <w:sz w:val="24"/>
                <w:szCs w:val="24"/>
                <w:color w:val="auto"/>
              </w:rPr>
            </w:pPr>
          </w:p>
        </w:tc>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support services</w:t>
            </w: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660" w:type="dxa"/>
            <w:vAlign w:val="bottom"/>
          </w:tcPr>
          <w:p>
            <w:pPr>
              <w:spacing w:after="0"/>
              <w:rPr>
                <w:sz w:val="24"/>
                <w:szCs w:val="24"/>
                <w:color w:val="auto"/>
              </w:rPr>
            </w:pPr>
          </w:p>
        </w:tc>
        <w:tc>
          <w:tcPr>
            <w:tcW w:w="5580" w:type="dxa"/>
            <w:vAlign w:val="bottom"/>
            <w:tcBorders>
              <w:top w:val="single" w:sz="8" w:color="CCEEFF"/>
            </w:tcBorders>
          </w:tcPr>
          <w:p>
            <w:pPr>
              <w:ind w:left="3680"/>
              <w:spacing w:after="0"/>
              <w:rPr>
                <w:sz w:val="20"/>
                <w:szCs w:val="20"/>
                <w:color w:val="auto"/>
              </w:rPr>
            </w:pPr>
            <w:r>
              <w:rPr>
                <w:rFonts w:ascii="Times New Roman" w:cs="Times New Roman" w:eastAsia="Times New Roman" w:hAnsi="Times New Roman"/>
                <w:sz w:val="18"/>
                <w:szCs w:val="18"/>
                <w:color w:val="auto"/>
              </w:rPr>
              <w:t>F-17</w:t>
            </w: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66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73" w:name="page74"/>
    <w:bookmarkEnd w:id="7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295" w:lineRule="exact"/>
        <w:rPr>
          <w:sz w:val="20"/>
          <w:szCs w:val="20"/>
          <w:color w:val="auto"/>
        </w:rPr>
      </w:pPr>
    </w:p>
    <w:tbl>
      <w:tblPr>
        <w:tblLayout w:type="fixed"/>
        <w:tblInd w:w="166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1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780" w:type="dxa"/>
            <w:vAlign w:val="bottom"/>
            <w:gridSpan w:val="6"/>
          </w:tcPr>
          <w:p>
            <w:pPr>
              <w:ind w:left="19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13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r>
      <w:tr>
        <w:trPr>
          <w:trHeight w:val="309"/>
        </w:trPr>
        <w:tc>
          <w:tcPr>
            <w:tcW w:w="4080" w:type="dxa"/>
            <w:vAlign w:val="bottom"/>
            <w:gridSpan w:val="2"/>
            <w:shd w:val="clear" w:color="auto" w:fill="CCEEFF"/>
          </w:tcPr>
          <w:p>
            <w:pPr>
              <w:spacing w:after="0" w:line="309" w:lineRule="exact"/>
              <w:rPr>
                <w:sz w:val="20"/>
                <w:szCs w:val="20"/>
                <w:color w:val="auto"/>
              </w:rPr>
            </w:pPr>
            <w:r>
              <w:rPr>
                <w:rFonts w:ascii="Times New Roman" w:cs="Times New Roman" w:eastAsia="Times New Roman" w:hAnsi="Times New Roman"/>
                <w:sz w:val="18"/>
                <w:szCs w:val="18"/>
                <w:color w:val="auto"/>
              </w:rPr>
              <w:t>Receivables – Total</w:t>
            </w:r>
            <w:r>
              <w:rPr>
                <w:rFonts w:ascii="Times New Roman" w:cs="Times New Roman" w:eastAsia="Times New Roman" w:hAnsi="Times New Roman"/>
                <w:sz w:val="29"/>
                <w:szCs w:val="29"/>
                <w:color w:val="auto"/>
                <w:vertAlign w:val="superscript"/>
              </w:rPr>
              <w:t>(iii)</w:t>
            </w:r>
          </w:p>
        </w:tc>
        <w:tc>
          <w:tcPr>
            <w:tcW w:w="2760" w:type="dxa"/>
            <w:vAlign w:val="bottom"/>
            <w:gridSpan w:val="5"/>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8"/>
              </w:rPr>
              <w:t>$1,800,349</w:t>
            </w:r>
          </w:p>
        </w:tc>
        <w:tc>
          <w:tcPr>
            <w:tcW w:w="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$5,426,387</w:t>
            </w:r>
          </w:p>
        </w:tc>
        <w:tc>
          <w:tcPr>
            <w:tcW w:w="40" w:type="dxa"/>
            <w:vAlign w:val="bottom"/>
            <w:shd w:val="clear" w:color="auto" w:fill="CCEEFF"/>
          </w:tcPr>
          <w:p>
            <w:pPr>
              <w:spacing w:after="0"/>
              <w:rPr>
                <w:sz w:val="24"/>
                <w:szCs w:val="24"/>
                <w:color w:val="auto"/>
              </w:rPr>
            </w:pPr>
          </w:p>
        </w:tc>
      </w:tr>
      <w:tr>
        <w:trPr>
          <w:trHeight w:val="237"/>
        </w:trPr>
        <w:tc>
          <w:tcPr>
            <w:tcW w:w="40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9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60" w:type="dxa"/>
            <w:vAlign w:val="bottom"/>
            <w:tcBorders>
              <w:top w:val="single" w:sz="8" w:color="CCEEFF"/>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40" w:type="dxa"/>
            <w:vAlign w:val="bottom"/>
            <w:tcBorders>
              <w:top w:val="single" w:sz="8" w:color="CCEEFF"/>
            </w:tcBorders>
          </w:tcPr>
          <w:p>
            <w:pPr>
              <w:spacing w:after="0"/>
              <w:rPr>
                <w:sz w:val="20"/>
                <w:szCs w:val="20"/>
                <w:color w:val="auto"/>
              </w:rPr>
            </w:pPr>
          </w:p>
        </w:tc>
      </w:tr>
      <w:tr>
        <w:trPr>
          <w:trHeight w:val="257"/>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 brokerage services</w:t>
            </w:r>
          </w:p>
        </w:tc>
        <w:tc>
          <w:tcPr>
            <w:tcW w:w="2100" w:type="dxa"/>
            <w:vAlign w:val="bottom"/>
            <w:gridSpan w:val="3"/>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$1,417,153</w:t>
            </w:r>
          </w:p>
        </w:tc>
        <w:tc>
          <w:tcPr>
            <w:tcW w:w="40" w:type="dxa"/>
            <w:vAlign w:val="bottom"/>
            <w:shd w:val="clear" w:color="auto" w:fill="CCEEFF"/>
          </w:tcPr>
          <w:p>
            <w:pPr>
              <w:spacing w:after="0"/>
              <w:rPr>
                <w:sz w:val="22"/>
                <w:szCs w:val="22"/>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 – Broker-dealer</w:t>
            </w: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75,136</w:t>
            </w:r>
          </w:p>
        </w:tc>
        <w:tc>
          <w:tcPr>
            <w:tcW w:w="40" w:type="dxa"/>
            <w:vAlign w:val="bottom"/>
          </w:tcPr>
          <w:p>
            <w:pPr>
              <w:spacing w:after="0"/>
              <w:rPr>
                <w:sz w:val="20"/>
                <w:szCs w:val="20"/>
                <w:color w:val="auto"/>
              </w:rPr>
            </w:pPr>
          </w:p>
        </w:tc>
      </w:tr>
      <w:tr>
        <w:trPr>
          <w:trHeight w:val="22"/>
        </w:trPr>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 Total</w:t>
            </w:r>
          </w:p>
        </w:tc>
        <w:tc>
          <w:tcPr>
            <w:tcW w:w="2100" w:type="dxa"/>
            <w:vAlign w:val="bottom"/>
            <w:gridSpan w:val="3"/>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1,492,289</w:t>
            </w:r>
          </w:p>
        </w:tc>
        <w:tc>
          <w:tcPr>
            <w:tcW w:w="40" w:type="dxa"/>
            <w:vAlign w:val="bottom"/>
            <w:shd w:val="clear" w:color="auto" w:fill="CCEEFF"/>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8"/>
        </w:trPr>
        <w:tc>
          <w:tcPr>
            <w:tcW w:w="1300" w:type="dxa"/>
            <w:vAlign w:val="bottom"/>
            <w:tcBorders>
              <w:bottom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31" w:lineRule="exact"/>
        <w:rPr>
          <w:sz w:val="20"/>
          <w:szCs w:val="20"/>
          <w:color w:val="auto"/>
        </w:rPr>
      </w:pPr>
    </w:p>
    <w:p>
      <w:pPr>
        <w:ind w:left="2000" w:right="1320" w:hanging="348"/>
        <w:spacing w:after="0" w:line="261" w:lineRule="auto"/>
        <w:tabs>
          <w:tab w:leader="none" w:pos="2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WSI extended a credit line of nil and $4.3 million to WGI for margin transactions during the six months ended September 30, 2025 and 2024.</w:t>
      </w:r>
    </w:p>
    <w:p>
      <w:pPr>
        <w:ind w:left="2000" w:right="1320" w:hanging="348"/>
        <w:spacing w:after="0" w:line="261" w:lineRule="auto"/>
        <w:tabs>
          <w:tab w:leader="none" w:pos="2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and March 31, 2025, the amounts consisted of margin loan receivables of nil and $3.5 million, net of client payables of nil and $0.2 million, respectively.</w:t>
      </w:r>
    </w:p>
    <w:p>
      <w:pPr>
        <w:ind w:left="2000" w:right="1320" w:hanging="348"/>
        <w:spacing w:after="0" w:line="261" w:lineRule="auto"/>
        <w:tabs>
          <w:tab w:leader="none" w:pos="2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and March 31, 2025, receivables from this customer, including margin loan receivables, have been either fully collateralized by the client-owned securities held in the customer’s account or fully collected.</w:t>
      </w:r>
    </w:p>
    <w:p>
      <w:pPr>
        <w:spacing w:after="0" w:line="28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22225</wp:posOffset>
            </wp:positionV>
            <wp:extent cx="1225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1" w:lineRule="exact"/>
        <w:rPr>
          <w:sz w:val="20"/>
          <w:szCs w:val="20"/>
          <w:color w:val="auto"/>
        </w:rPr>
      </w:pPr>
    </w:p>
    <w:tbl>
      <w:tblPr>
        <w:tblLayout w:type="fixed"/>
        <w:tblInd w:w="1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brokerage commission and handling charge income</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$1,388,432</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892,837</w:t>
            </w:r>
          </w:p>
        </w:tc>
        <w:tc>
          <w:tcPr>
            <w:tcW w:w="20" w:type="dxa"/>
            <w:vAlign w:val="bottom"/>
            <w:shd w:val="clear" w:color="auto" w:fill="CCEEFF"/>
          </w:tcPr>
          <w:p>
            <w:pPr>
              <w:spacing w:after="0"/>
              <w:rPr>
                <w:sz w:val="21"/>
                <w:szCs w:val="2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Revenues – 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446,360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software licensing (including subscription based) and related</w:t>
            </w: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55"/>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support services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2,234,792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2,013,020</w:t>
            </w:r>
          </w:p>
        </w:tc>
        <w:tc>
          <w:tcPr>
            <w:tcW w:w="20" w:type="dxa"/>
            <w:vAlign w:val="bottom"/>
          </w:tcPr>
          <w:p>
            <w:pPr>
              <w:spacing w:after="0"/>
              <w:rPr>
                <w:sz w:val="22"/>
                <w:szCs w:val="22"/>
                <w:color w:val="auto"/>
              </w:rPr>
            </w:pPr>
          </w:p>
        </w:tc>
      </w:tr>
      <w:tr>
        <w:trPr>
          <w:trHeight w:val="20"/>
        </w:trPr>
        <w:tc>
          <w:tcPr>
            <w:tcW w:w="6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1660" w:right="1320"/>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30, 2025 and 2024, the Group recognized software licensing and related support services revenue of $400,000 and $600,000, respectively, before invoicing to WGI. The amount was recorded under contract assets – related party in the unaudited condensed consolidated balance sheets.</w:t>
      </w:r>
    </w:p>
    <w:p>
      <w:pPr>
        <w:spacing w:after="0" w:line="68" w:lineRule="exact"/>
        <w:rPr>
          <w:sz w:val="20"/>
          <w:szCs w:val="20"/>
          <w:color w:val="auto"/>
        </w:rPr>
      </w:pPr>
    </w:p>
    <w:p>
      <w:pPr>
        <w:jc w:val="both"/>
        <w:ind w:left="1660" w:right="1300"/>
        <w:spacing w:after="0" w:line="282" w:lineRule="auto"/>
        <w:rPr>
          <w:sz w:val="20"/>
          <w:szCs w:val="20"/>
          <w:color w:val="auto"/>
        </w:rPr>
      </w:pPr>
      <w:r>
        <w:rPr>
          <w:rFonts w:ascii="Times New Roman" w:cs="Times New Roman" w:eastAsia="Times New Roman" w:hAnsi="Times New Roman"/>
          <w:sz w:val="18"/>
          <w:szCs w:val="18"/>
          <w:color w:val="auto"/>
        </w:rPr>
        <w:t>Effective October 2025, WGI has dissolved investment accounts in the Group, therefore, WGI is no longer a customer of the Group after October 2025.</w:t>
      </w:r>
    </w:p>
    <w:p>
      <w:pPr>
        <w:spacing w:after="0" w:line="2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u w:val="single" w:color="auto"/>
          <w:color w:val="auto"/>
        </w:rPr>
        <w:t>Transactions with Zhou Kai</w:t>
      </w:r>
    </w:p>
    <w:p>
      <w:pPr>
        <w:spacing w:after="0" w:line="117" w:lineRule="exact"/>
        <w:rPr>
          <w:sz w:val="20"/>
          <w:szCs w:val="20"/>
          <w:color w:val="auto"/>
        </w:rPr>
      </w:pPr>
    </w:p>
    <w:p>
      <w:pPr>
        <w:jc w:val="both"/>
        <w:ind w:left="1660" w:right="1300"/>
        <w:spacing w:after="0" w:line="282" w:lineRule="auto"/>
        <w:rPr>
          <w:sz w:val="20"/>
          <w:szCs w:val="20"/>
          <w:color w:val="auto"/>
        </w:rPr>
      </w:pPr>
      <w:r>
        <w:rPr>
          <w:rFonts w:ascii="Times New Roman" w:cs="Times New Roman" w:eastAsia="Times New Roman" w:hAnsi="Times New Roman"/>
          <w:sz w:val="18"/>
          <w:szCs w:val="18"/>
          <w:color w:val="auto"/>
        </w:rPr>
        <w:t>The Group conducts transactions with Zhou Kai through WSI. These transactions and related balance are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6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44"/>
        </w:trPr>
        <w:tc>
          <w:tcPr>
            <w:tcW w:w="16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580" w:type="dxa"/>
            <w:vAlign w:val="bottom"/>
            <w:gridSpan w:val="8"/>
          </w:tcPr>
          <w:p>
            <w:pPr>
              <w:ind w:left="3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Pr>
          <w:p>
            <w:pPr>
              <w:spacing w:after="0"/>
              <w:rPr>
                <w:sz w:val="12"/>
                <w:szCs w:val="12"/>
                <w:color w:val="auto"/>
              </w:rPr>
            </w:pPr>
          </w:p>
        </w:tc>
      </w:tr>
      <w:tr>
        <w:trPr>
          <w:trHeight w:val="190"/>
        </w:trPr>
        <w:tc>
          <w:tcPr>
            <w:tcW w:w="16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Pr>
          <w:p>
            <w:pPr>
              <w:spacing w:after="0"/>
              <w:rPr>
                <w:sz w:val="16"/>
                <w:szCs w:val="16"/>
                <w:color w:val="auto"/>
              </w:rPr>
            </w:pPr>
          </w:p>
        </w:tc>
      </w:tr>
      <w:tr>
        <w:trPr>
          <w:trHeight w:val="23"/>
        </w:trPr>
        <w:tc>
          <w:tcPr>
            <w:tcW w:w="16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1660" w:type="dxa"/>
            <w:vAlign w:val="bottom"/>
          </w:tcPr>
          <w:p>
            <w:pPr>
              <w:spacing w:after="0"/>
              <w:rPr>
                <w:sz w:val="24"/>
                <w:szCs w:val="24"/>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 clients – margin loan</w:t>
            </w:r>
          </w:p>
        </w:tc>
        <w:tc>
          <w:tcPr>
            <w:tcW w:w="540" w:type="dxa"/>
            <w:vAlign w:val="bottom"/>
            <w:tcBorders>
              <w:bottom w:val="single" w:sz="8" w:color="CCEEFF"/>
            </w:tcBorders>
            <w:gridSpan w:val="3"/>
            <w:shd w:val="clear" w:color="auto" w:fill="CCEEFF"/>
          </w:tcPr>
          <w:p>
            <w:pPr>
              <w:spacing w:after="0"/>
              <w:rPr>
                <w:sz w:val="24"/>
                <w:szCs w:val="24"/>
                <w:color w:val="auto"/>
              </w:rPr>
            </w:pPr>
          </w:p>
        </w:tc>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2,839</w:t>
            </w: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549"/>
        </w:trPr>
        <w:tc>
          <w:tcPr>
            <w:tcW w:w="16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300" w:type="dxa"/>
            <w:vAlign w:val="bottom"/>
          </w:tcPr>
          <w:p>
            <w:pPr>
              <w:spacing w:after="0"/>
              <w:rPr>
                <w:sz w:val="24"/>
                <w:szCs w:val="24"/>
                <w:color w:val="auto"/>
              </w:rPr>
            </w:pPr>
          </w:p>
        </w:tc>
      </w:tr>
      <w:tr>
        <w:trPr>
          <w:trHeight w:val="190"/>
        </w:trPr>
        <w:tc>
          <w:tcPr>
            <w:tcW w:w="16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Pr>
          <w:p>
            <w:pPr>
              <w:spacing w:after="0"/>
              <w:rPr>
                <w:sz w:val="16"/>
                <w:szCs w:val="16"/>
                <w:color w:val="auto"/>
              </w:rPr>
            </w:pPr>
          </w:p>
        </w:tc>
      </w:tr>
      <w:tr>
        <w:trPr>
          <w:trHeight w:val="23"/>
        </w:trPr>
        <w:tc>
          <w:tcPr>
            <w:tcW w:w="16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6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Pr>
          <w:p>
            <w:pPr>
              <w:spacing w:after="0"/>
              <w:rPr>
                <w:sz w:val="16"/>
                <w:szCs w:val="16"/>
                <w:color w:val="auto"/>
              </w:rPr>
            </w:pPr>
          </w:p>
        </w:tc>
      </w:tr>
      <w:tr>
        <w:trPr>
          <w:trHeight w:val="23"/>
        </w:trPr>
        <w:tc>
          <w:tcPr>
            <w:tcW w:w="7480" w:type="dxa"/>
            <w:vAlign w:val="bottom"/>
            <w:gridSpan w:val="2"/>
          </w:tcPr>
          <w:p>
            <w:pPr>
              <w:spacing w:after="0"/>
              <w:rPr>
                <w:sz w:val="2"/>
                <w:szCs w:val="2"/>
                <w:color w:val="auto"/>
              </w:rPr>
            </w:pPr>
          </w:p>
        </w:tc>
        <w:tc>
          <w:tcPr>
            <w:tcW w:w="3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66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brokerage commission and handling charge income</w:t>
            </w:r>
          </w:p>
        </w:tc>
        <w:tc>
          <w:tcPr>
            <w:tcW w:w="1220" w:type="dxa"/>
            <w:vAlign w:val="bottom"/>
            <w:gridSpan w:val="6"/>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$2,065</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r>
      <w:tr>
        <w:trPr>
          <w:trHeight w:val="234"/>
        </w:trPr>
        <w:tc>
          <w:tcPr>
            <w:tcW w:w="16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Revenues – interest income</w:t>
            </w:r>
          </w:p>
        </w:tc>
        <w:tc>
          <w:tcPr>
            <w:tcW w:w="10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w w:val="93"/>
              </w:rPr>
              <w:t>6,448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0"/>
                <w:szCs w:val="20"/>
                <w:color w:val="auto"/>
              </w:rPr>
            </w:pPr>
          </w:p>
        </w:tc>
      </w:tr>
      <w:tr>
        <w:trPr>
          <w:trHeight w:val="22"/>
        </w:trPr>
        <w:tc>
          <w:tcPr>
            <w:tcW w:w="74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660" w:type="dxa"/>
            <w:vAlign w:val="bottom"/>
          </w:tcPr>
          <w:p>
            <w:pPr>
              <w:spacing w:after="0"/>
              <w:rPr>
                <w:sz w:val="24"/>
                <w:szCs w:val="24"/>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6"/>
            <w:shd w:val="clear" w:color="auto" w:fill="CCEEFF"/>
          </w:tcPr>
          <w:p>
            <w:pPr>
              <w:ind w:left="5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8,513</w:t>
            </w: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426"/>
        </w:trPr>
        <w:tc>
          <w:tcPr>
            <w:tcW w:w="1660" w:type="dxa"/>
            <w:vAlign w:val="bottom"/>
          </w:tcPr>
          <w:p>
            <w:pPr>
              <w:spacing w:after="0"/>
              <w:rPr>
                <w:sz w:val="24"/>
                <w:szCs w:val="24"/>
                <w:color w:val="auto"/>
              </w:rPr>
            </w:pPr>
          </w:p>
        </w:tc>
        <w:tc>
          <w:tcPr>
            <w:tcW w:w="5820" w:type="dxa"/>
            <w:vAlign w:val="bottom"/>
            <w:tcBorders>
              <w:top w:val="single" w:sz="8" w:color="CCEEFF"/>
            </w:tcBorders>
          </w:tcPr>
          <w:p>
            <w:pPr>
              <w:ind w:left="3680"/>
              <w:spacing w:after="0"/>
              <w:rPr>
                <w:sz w:val="20"/>
                <w:szCs w:val="20"/>
                <w:color w:val="auto"/>
              </w:rPr>
            </w:pPr>
            <w:r>
              <w:rPr>
                <w:rFonts w:ascii="Times New Roman" w:cs="Times New Roman" w:eastAsia="Times New Roman" w:hAnsi="Times New Roman"/>
                <w:sz w:val="18"/>
                <w:szCs w:val="18"/>
                <w:color w:val="auto"/>
              </w:rPr>
              <w:t>F-18</w:t>
            </w: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660" w:type="dxa"/>
            <w:vAlign w:val="bottom"/>
            <w:tcBorders>
              <w:bottom w:val="single" w:sz="8" w:color="auto"/>
            </w:tcBorders>
          </w:tcPr>
          <w:p>
            <w:pPr>
              <w:spacing w:after="0"/>
              <w:rPr>
                <w:sz w:val="17"/>
                <w:szCs w:val="17"/>
                <w:color w:val="auto"/>
              </w:rPr>
            </w:pPr>
          </w:p>
        </w:tc>
        <w:tc>
          <w:tcPr>
            <w:tcW w:w="5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74" w:name="page75"/>
    <w:bookmarkEnd w:id="7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1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u w:val="single" w:color="auto"/>
          <w:color w:val="auto"/>
        </w:rPr>
        <w:t>Due to related parties</w:t>
      </w:r>
    </w:p>
    <w:p>
      <w:pPr>
        <w:spacing w:after="0" w:line="200" w:lineRule="exact"/>
        <w:rPr>
          <w:sz w:val="20"/>
          <w:szCs w:val="20"/>
          <w:color w:val="auto"/>
        </w:rPr>
      </w:pPr>
    </w:p>
    <w:p>
      <w:pPr>
        <w:spacing w:after="0" w:line="248" w:lineRule="exact"/>
        <w:rPr>
          <w:sz w:val="20"/>
          <w:szCs w:val="20"/>
          <w:color w:val="auto"/>
        </w:rPr>
      </w:pPr>
    </w:p>
    <w:tbl>
      <w:tblPr>
        <w:tblLayout w:type="fixed"/>
        <w:tblInd w:w="166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86"/>
        </w:trPr>
        <w:tc>
          <w:tcPr>
            <w:tcW w:w="5640" w:type="dxa"/>
            <w:vAlign w:val="bottom"/>
          </w:tcPr>
          <w:p>
            <w:pPr>
              <w:spacing w:after="0"/>
              <w:rPr>
                <w:sz w:val="16"/>
                <w:szCs w:val="16"/>
                <w:color w:val="auto"/>
              </w:rPr>
            </w:pPr>
          </w:p>
        </w:tc>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91"/>
        </w:trPr>
        <w:tc>
          <w:tcPr>
            <w:tcW w:w="56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Zhou Kai</w:t>
            </w:r>
            <w:r>
              <w:rPr>
                <w:rFonts w:ascii="Times New Roman" w:cs="Times New Roman" w:eastAsia="Times New Roman" w:hAnsi="Times New Roman"/>
                <w:sz w:val="29"/>
                <w:szCs w:val="29"/>
                <w:color w:val="auto"/>
                <w:vertAlign w:val="superscript"/>
              </w:rPr>
              <w:t>(i)</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220" w:type="dxa"/>
            <w:vAlign w:val="bottom"/>
            <w:tcBorders>
              <w:lef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31,682</w:t>
            </w:r>
          </w:p>
        </w:tc>
        <w:tc>
          <w:tcPr>
            <w:tcW w:w="120" w:type="dxa"/>
            <w:vAlign w:val="bottom"/>
            <w:tcBorders>
              <w:left w:val="single" w:sz="8" w:color="CCEEFF"/>
            </w:tcBorders>
            <w:shd w:val="clear" w:color="auto" w:fill="CCEEFF"/>
          </w:tcPr>
          <w:p>
            <w:pPr>
              <w:spacing w:after="0"/>
              <w:rPr>
                <w:sz w:val="24"/>
                <w:szCs w:val="24"/>
                <w:color w:val="auto"/>
              </w:rPr>
            </w:pPr>
          </w:p>
        </w:tc>
      </w:tr>
      <w:tr>
        <w:trPr>
          <w:trHeight w:val="297"/>
        </w:trPr>
        <w:tc>
          <w:tcPr>
            <w:tcW w:w="564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Shenzhen Jinhui</w:t>
            </w:r>
            <w:r>
              <w:rPr>
                <w:rFonts w:ascii="Times New Roman" w:cs="Times New Roman" w:eastAsia="Times New Roman" w:hAnsi="Times New Roman"/>
                <w:sz w:val="29"/>
                <w:szCs w:val="29"/>
                <w:color w:val="auto"/>
                <w:vertAlign w:val="superscript"/>
              </w:rPr>
              <w:t>(ii)</w:t>
            </w: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2,528,305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1,766,092</w:t>
            </w:r>
          </w:p>
        </w:tc>
        <w:tc>
          <w:tcPr>
            <w:tcW w:w="120" w:type="dxa"/>
            <w:vAlign w:val="bottom"/>
          </w:tcPr>
          <w:p>
            <w:pPr>
              <w:spacing w:after="0"/>
              <w:rPr>
                <w:sz w:val="24"/>
                <w:szCs w:val="24"/>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to related parties</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2,540,810</w:t>
            </w:r>
          </w:p>
        </w:tc>
        <w:tc>
          <w:tcPr>
            <w:tcW w:w="22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1,797,774</w:t>
            </w:r>
          </w:p>
        </w:tc>
        <w:tc>
          <w:tcPr>
            <w:tcW w:w="120" w:type="dxa"/>
            <w:vAlign w:val="bottom"/>
            <w:tcBorders>
              <w:left w:val="single" w:sz="8" w:color="CCEEFF"/>
            </w:tcBorders>
            <w:shd w:val="clear" w:color="auto" w:fill="CCEEFF"/>
          </w:tcPr>
          <w:p>
            <w:pPr>
              <w:spacing w:after="0"/>
              <w:rPr>
                <w:sz w:val="23"/>
                <w:szCs w:val="23"/>
                <w:color w:val="auto"/>
              </w:rPr>
            </w:pP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154305</wp:posOffset>
            </wp:positionV>
            <wp:extent cx="8229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2000" w:right="1320" w:hanging="348"/>
        <w:spacing w:after="0" w:line="236" w:lineRule="auto"/>
        <w:tabs>
          <w:tab w:leader="none" w:pos="20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represents borrowings from Zhou Kai for the Group’s daily operational purposes. The borrowings are interest-free, unsecured and due on demand. During the six months ended September 30, 2025 and 2024, there was no advances from Zhou Kai. During the six months ended September 30, 2025 and 2024, the Group repaid borrowings from Zhou Kai of nil and $1.8 million, respectively.</w:t>
      </w:r>
    </w:p>
    <w:p>
      <w:pPr>
        <w:spacing w:after="0" w:line="14" w:lineRule="exact"/>
        <w:rPr>
          <w:rFonts w:ascii="Times New Roman" w:cs="Times New Roman" w:eastAsia="Times New Roman" w:hAnsi="Times New Roman"/>
          <w:sz w:val="14"/>
          <w:szCs w:val="14"/>
          <w:color w:val="auto"/>
        </w:rPr>
      </w:pPr>
    </w:p>
    <w:p>
      <w:pPr>
        <w:jc w:val="both"/>
        <w:ind w:left="2000" w:right="1320" w:hanging="348"/>
        <w:spacing w:after="0" w:line="233" w:lineRule="auto"/>
        <w:tabs>
          <w:tab w:leader="none" w:pos="20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represents unpaid service fees to Shenzhen Jinhui, a service provider and sub-contractor of the Group’s project management services. Based on the services agreement, Shenzhen Jinhui charges the Group certain percents of markup above its costs relating to service provided to the Group. During the six months ended September 30, 2025 and 2024, the Group purchased outsourcing and related support services of approximately $0.7 million and $0.5 million, respectively, from Shenzhen Jinhui which were recorded as software licensing and related support outsourcing costs.</w:t>
      </w:r>
    </w:p>
    <w:p>
      <w:pPr>
        <w:spacing w:after="0" w:line="177" w:lineRule="exact"/>
        <w:rPr>
          <w:rFonts w:ascii="Times New Roman" w:cs="Times New Roman" w:eastAsia="Times New Roman" w:hAnsi="Times New Roman"/>
          <w:sz w:val="14"/>
          <w:szCs w:val="14"/>
          <w:color w:val="auto"/>
        </w:rPr>
      </w:pPr>
    </w:p>
    <w:p>
      <w:pPr>
        <w:ind w:left="1640" w:hanging="348"/>
        <w:spacing w:after="0"/>
        <w:tabs>
          <w:tab w:leader="none" w:pos="1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360" w:lineRule="exact"/>
        <w:rPr>
          <w:rFonts w:ascii="Times New Roman" w:cs="Times New Roman" w:eastAsia="Times New Roman" w:hAnsi="Times New Roman"/>
          <w:sz w:val="18"/>
          <w:szCs w:val="18"/>
          <w:b w:val="1"/>
          <w:bCs w:val="1"/>
          <w:color w:val="auto"/>
        </w:rPr>
      </w:pPr>
    </w:p>
    <w:p>
      <w:pPr>
        <w:ind w:left="1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2024 Global Equity Incentive Plan</w:t>
      </w:r>
    </w:p>
    <w:p>
      <w:pPr>
        <w:spacing w:after="0" w:line="121" w:lineRule="exact"/>
        <w:rPr>
          <w:rFonts w:ascii="Times New Roman" w:cs="Times New Roman" w:eastAsia="Times New Roman" w:hAnsi="Times New Roman"/>
          <w:sz w:val="18"/>
          <w:szCs w:val="18"/>
          <w:b w:val="1"/>
          <w:bCs w:val="1"/>
          <w:color w:val="auto"/>
        </w:rPr>
      </w:pPr>
    </w:p>
    <w:p>
      <w:pPr>
        <w:jc w:val="both"/>
        <w:ind w:left="1660" w:righ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Company adopted the 2024 Global Equity Incentive Plan (the “2024 Plan”), which provides for the grant of share options, share appreciation rights, restricted share units, restricted shares or other share-based awards with a life of ten years from the date of its adoption on November 18, 2024. The initial maximum number of ordinary shares may be granted and issuable pursuant to the 2024 Plan is 10,245,000 ordinary shares.</w:t>
      </w:r>
    </w:p>
    <w:p>
      <w:pPr>
        <w:spacing w:after="0" w:line="75" w:lineRule="exact"/>
        <w:rPr>
          <w:rFonts w:ascii="Times New Roman" w:cs="Times New Roman" w:eastAsia="Times New Roman" w:hAnsi="Times New Roman"/>
          <w:sz w:val="18"/>
          <w:szCs w:val="18"/>
          <w:b w:val="1"/>
          <w:bCs w:val="1"/>
          <w:color w:val="auto"/>
        </w:rPr>
      </w:pPr>
    </w:p>
    <w:p>
      <w:pPr>
        <w:jc w:val="both"/>
        <w:ind w:left="1660" w:righ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 to the 2024 Plan, the Company has granted 4,884,030 restricted shares in total to certain of the directors, employees and a consultant of the Company, of which 909,204 ordinary shares were immediately vested, exercised and issued on November 18, 2024.</w:t>
      </w:r>
    </w:p>
    <w:p>
      <w:pPr>
        <w:spacing w:after="0" w:line="67" w:lineRule="exact"/>
        <w:rPr>
          <w:rFonts w:ascii="Times New Roman" w:cs="Times New Roman" w:eastAsia="Times New Roman" w:hAnsi="Times New Roman"/>
          <w:sz w:val="18"/>
          <w:szCs w:val="18"/>
          <w:b w:val="1"/>
          <w:bCs w:val="1"/>
          <w:color w:val="auto"/>
        </w:rPr>
      </w:pPr>
    </w:p>
    <w:p>
      <w:pPr>
        <w:jc w:val="both"/>
        <w:ind w:left="1660" w:righ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six months ended September 30, 2025 and 2024, the Company recorded $6.1 million and nil share-based compensation expenses, respectively, which is included in the operating costs and expenses in the unaudited condensed consolidated statements of operations and comprehensive loss. WSI did not recognize any income tax benefits from stock-based compensation arrangements during the six months ended September 30, 2025 and 2024 as it is not deductible for income tax purpose in WSI.</w:t>
      </w:r>
    </w:p>
    <w:p>
      <w:pPr>
        <w:spacing w:after="0" w:line="75" w:lineRule="exact"/>
        <w:rPr>
          <w:rFonts w:ascii="Times New Roman" w:cs="Times New Roman" w:eastAsia="Times New Roman" w:hAnsi="Times New Roman"/>
          <w:sz w:val="18"/>
          <w:szCs w:val="18"/>
          <w:b w:val="1"/>
          <w:bCs w:val="1"/>
          <w:color w:val="auto"/>
        </w:rPr>
      </w:pPr>
    </w:p>
    <w:p>
      <w:pPr>
        <w:jc w:val="both"/>
        <w:ind w:left="1660" w:right="1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2025, total unrecognized compensation remaining to be recognized in future period for the 2024 Plan totaled $1.5 million, which is expected to be recognized over the weighted average period of 1.2 years.</w:t>
      </w:r>
    </w:p>
    <w:p>
      <w:pPr>
        <w:spacing w:after="0" w:line="94" w:lineRule="exact"/>
        <w:rPr>
          <w:rFonts w:ascii="Times New Roman" w:cs="Times New Roman" w:eastAsia="Times New Roman" w:hAnsi="Times New Roman"/>
          <w:sz w:val="18"/>
          <w:szCs w:val="18"/>
          <w:b w:val="1"/>
          <w:bCs w:val="1"/>
          <w:color w:val="auto"/>
        </w:rPr>
      </w:pPr>
    </w:p>
    <w:p>
      <w:pPr>
        <w:ind w:left="1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activities of the 2024 Plan as of September 30, 2025 and March 31, 2025 is as follows: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920" w:type="dxa"/>
            <w:vAlign w:val="bottom"/>
            <w:gridSpan w:val="4"/>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vMerge w:val="restart"/>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80" w:type="dxa"/>
            <w:vAlign w:val="bottom"/>
          </w:tcPr>
          <w:p>
            <w:pPr>
              <w:spacing w:after="0"/>
              <w:rPr>
                <w:sz w:val="12"/>
                <w:szCs w:val="12"/>
                <w:color w:val="auto"/>
              </w:rPr>
            </w:pPr>
          </w:p>
        </w:tc>
        <w:tc>
          <w:tcPr>
            <w:tcW w:w="9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 (in</w:t>
            </w: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60" w:type="dxa"/>
            <w:vAlign w:val="bottom"/>
            <w:gridSpan w:val="2"/>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3,974,826</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rPr>
              <w:t>0.88</w:t>
            </w:r>
          </w:p>
        </w:tc>
        <w:tc>
          <w:tcPr>
            <w:tcW w:w="116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8"/>
              </w:rPr>
              <w:t>$9,894,439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(2,696,442)</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66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8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1,278,384</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22"/>
                <w:szCs w:val="22"/>
                <w:color w:val="auto"/>
              </w:rPr>
            </w:pPr>
          </w:p>
        </w:tc>
        <w:tc>
          <w:tcPr>
            <w:tcW w:w="1360" w:type="dxa"/>
            <w:vAlign w:val="bottom"/>
            <w:gridSpan w:val="2"/>
          </w:tcPr>
          <w:p>
            <w:pPr>
              <w:jc w:val="center"/>
              <w:ind w:left="196"/>
              <w:spacing w:after="0"/>
              <w:rPr>
                <w:sz w:val="20"/>
                <w:szCs w:val="20"/>
                <w:color w:val="auto"/>
              </w:rPr>
            </w:pPr>
            <w:r>
              <w:rPr>
                <w:rFonts w:ascii="Times New Roman" w:cs="Times New Roman" w:eastAsia="Times New Roman" w:hAnsi="Times New Roman"/>
                <w:sz w:val="18"/>
                <w:szCs w:val="18"/>
                <w:color w:val="auto"/>
              </w:rPr>
              <w:t>0.63</w:t>
            </w:r>
          </w:p>
        </w:tc>
        <w:tc>
          <w:tcPr>
            <w:tcW w:w="1160" w:type="dxa"/>
            <w:vAlign w:val="bottom"/>
            <w:gridSpan w:val="2"/>
          </w:tcPr>
          <w:p>
            <w:pPr>
              <w:jc w:val="center"/>
              <w:ind w:left="196"/>
              <w:spacing w:after="0"/>
              <w:rPr>
                <w:sz w:val="20"/>
                <w:szCs w:val="20"/>
                <w:color w:val="auto"/>
              </w:rPr>
            </w:pPr>
            <w:r>
              <w:rPr>
                <w:rFonts w:ascii="Times New Roman" w:cs="Times New Roman" w:eastAsia="Times New Roman" w:hAnsi="Times New Roman"/>
                <w:sz w:val="18"/>
                <w:szCs w:val="18"/>
                <w:color w:val="auto"/>
                <w:w w:val="98"/>
              </w:rPr>
              <w:t>$3,220,027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1660" w:type="dxa"/>
            <w:vAlign w:val="bottom"/>
          </w:tcPr>
          <w:p>
            <w:pPr>
              <w:spacing w:after="0"/>
              <w:rPr>
                <w:sz w:val="24"/>
                <w:szCs w:val="2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or convertible, end of period</w:t>
            </w:r>
          </w:p>
        </w:tc>
        <w:tc>
          <w:tcPr>
            <w:tcW w:w="28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F-19</w:t>
            </w:r>
          </w:p>
        </w:tc>
        <w:tc>
          <w:tcPr>
            <w:tcW w:w="2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9" w:lineRule="exact"/>
        <w:rPr>
          <w:sz w:val="20"/>
          <w:szCs w:val="20"/>
          <w:color w:val="auto"/>
        </w:rPr>
      </w:pPr>
    </w:p>
    <w:p>
      <w:pPr>
        <w:ind w:left="640" w:hanging="348"/>
        <w:spacing w:after="0"/>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98" w:lineRule="exact"/>
        <w:rPr>
          <w:rFonts w:ascii="Times New Roman" w:cs="Times New Roman" w:eastAsia="Times New Roman" w:hAnsi="Times New Roman"/>
          <w:sz w:val="18"/>
          <w:szCs w:val="18"/>
          <w:b w:val="1"/>
          <w:bCs w:val="1"/>
          <w:color w:val="auto"/>
        </w:rPr>
      </w:pPr>
    </w:p>
    <w:p>
      <w:pPr>
        <w:jc w:val="both"/>
        <w:ind w:left="660" w:right="2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and manages its business as one reportable and operating segment concentrating on the provisions of securities brokerage services and financial technology services. The measure of segment assets is reported on the balance sheet as total consolidated assets. The Company derives revenue primarily in Hong Kong and manages its business activities on a consolidated basis.</w:t>
      </w:r>
    </w:p>
    <w:p>
      <w:pPr>
        <w:spacing w:after="0" w:line="71" w:lineRule="exact"/>
        <w:rPr>
          <w:rFonts w:ascii="Times New Roman" w:cs="Times New Roman" w:eastAsia="Times New Roman" w:hAnsi="Times New Roman"/>
          <w:sz w:val="18"/>
          <w:szCs w:val="18"/>
          <w:b w:val="1"/>
          <w:bCs w:val="1"/>
          <w:color w:val="auto"/>
        </w:rPr>
      </w:pPr>
    </w:p>
    <w:p>
      <w:pPr>
        <w:jc w:val="both"/>
        <w:ind w:left="660" w:right="2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CODM is a management committee that consists of Chief Executive Officer, Chief Technology Officer, and a number of other senior officers of the Company, by whom review financial information presented on a consolidated basis and decides how to allocate resources based on net income (loss). Consolidated net income (loss) is used for evaluating financial performance.</w:t>
      </w:r>
    </w:p>
    <w:p>
      <w:pPr>
        <w:spacing w:after="0" w:line="71" w:lineRule="exact"/>
        <w:rPr>
          <w:rFonts w:ascii="Times New Roman" w:cs="Times New Roman" w:eastAsia="Times New Roman" w:hAnsi="Times New Roman"/>
          <w:sz w:val="18"/>
          <w:szCs w:val="18"/>
          <w:b w:val="1"/>
          <w:bCs w:val="1"/>
          <w:color w:val="auto"/>
        </w:rPr>
      </w:pPr>
    </w:p>
    <w:p>
      <w:pPr>
        <w:ind w:left="660" w:right="3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evaluating the Company’s performance and making key decisions regarding resource allocation the CODM reviews several key metrics, which include the following:</w:t>
      </w:r>
    </w:p>
    <w:p>
      <w:pPr>
        <w:spacing w:after="0" w:line="39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66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r>
      <w:tr>
        <w:trPr>
          <w:trHeight w:val="2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3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and commission income</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$ 4,165,385</w:t>
            </w:r>
          </w:p>
        </w:tc>
        <w:tc>
          <w:tcPr>
            <w:tcW w:w="1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$ 1,289,384</w:t>
            </w:r>
          </w:p>
        </w:tc>
        <w:tc>
          <w:tcPr>
            <w:tcW w:w="140" w:type="dxa"/>
            <w:vAlign w:val="bottom"/>
            <w:shd w:val="clear" w:color="auto" w:fill="CCEEFF"/>
          </w:tcPr>
          <w:p>
            <w:pPr>
              <w:spacing w:after="0"/>
              <w:rPr>
                <w:sz w:val="21"/>
                <w:szCs w:val="2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Principal transactions and proprietary trading</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960,680</w:t>
            </w:r>
          </w:p>
        </w:tc>
        <w:tc>
          <w:tcPr>
            <w:tcW w:w="1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522,745</w:t>
            </w:r>
          </w:p>
        </w:tc>
        <w:tc>
          <w:tcPr>
            <w:tcW w:w="140" w:type="dxa"/>
            <w:vAlign w:val="bottom"/>
            <w:shd w:val="clear" w:color="auto" w:fill="CCEEFF"/>
          </w:tcPr>
          <w:p>
            <w:pPr>
              <w:spacing w:after="0"/>
              <w:rPr>
                <w:sz w:val="21"/>
                <w:szCs w:val="21"/>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licensing (including subscription based) and related support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661,498</w:t>
            </w:r>
          </w:p>
        </w:tc>
        <w:tc>
          <w:tcPr>
            <w:tcW w:w="1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1,146,134</w:t>
            </w:r>
          </w:p>
        </w:tc>
        <w:tc>
          <w:tcPr>
            <w:tcW w:w="14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6,102,900</w:t>
            </w:r>
          </w:p>
        </w:tc>
        <w:tc>
          <w:tcPr>
            <w:tcW w:w="120" w:type="dxa"/>
            <w:vAlign w:val="bottom"/>
            <w:shd w:val="clear" w:color="auto" w:fill="CCEEFF"/>
          </w:tcPr>
          <w:p>
            <w:pPr>
              <w:spacing w:after="0"/>
              <w:rPr>
                <w:sz w:val="22"/>
                <w:szCs w:val="22"/>
                <w:color w:val="auto"/>
              </w:rPr>
            </w:pPr>
          </w:p>
        </w:tc>
        <w:tc>
          <w:tcPr>
            <w:tcW w:w="13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2,958,263</w:t>
            </w:r>
          </w:p>
        </w:tc>
        <w:tc>
          <w:tcPr>
            <w:tcW w:w="140" w:type="dxa"/>
            <w:vAlign w:val="bottom"/>
            <w:shd w:val="clear" w:color="auto" w:fill="CCEEFF"/>
          </w:tcPr>
          <w:p>
            <w:pPr>
              <w:spacing w:after="0"/>
              <w:rPr>
                <w:sz w:val="22"/>
                <w:szCs w:val="22"/>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brokerage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(1,639,072)</w:t>
            </w:r>
          </w:p>
        </w:tc>
        <w:tc>
          <w:tcPr>
            <w:tcW w:w="1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(172,712)</w:t>
            </w:r>
          </w:p>
        </w:tc>
        <w:tc>
          <w:tcPr>
            <w:tcW w:w="140" w:type="dxa"/>
            <w:vAlign w:val="bottom"/>
          </w:tcPr>
          <w:p>
            <w:pPr>
              <w:spacing w:after="0"/>
              <w:rPr>
                <w:sz w:val="20"/>
                <w:szCs w:val="20"/>
                <w:color w:val="auto"/>
              </w:rPr>
            </w:pPr>
          </w:p>
        </w:tc>
      </w:tr>
      <w:tr>
        <w:trPr>
          <w:trHeight w:val="22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licensing (including subscription based) and related support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48"/>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outsourcing cost</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(487,860)</w:t>
            </w:r>
          </w:p>
        </w:tc>
        <w:tc>
          <w:tcPr>
            <w:tcW w:w="1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(507,822)</w:t>
            </w:r>
          </w:p>
        </w:tc>
        <w:tc>
          <w:tcPr>
            <w:tcW w:w="140" w:type="dxa"/>
            <w:vAlign w:val="bottom"/>
            <w:shd w:val="clear" w:color="auto" w:fill="CCEEFF"/>
          </w:tcPr>
          <w:p>
            <w:pPr>
              <w:spacing w:after="0"/>
              <w:rPr>
                <w:sz w:val="21"/>
                <w:szCs w:val="2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(353,587)</w:t>
            </w:r>
          </w:p>
        </w:tc>
        <w:tc>
          <w:tcPr>
            <w:tcW w:w="1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(85,657)</w:t>
            </w:r>
          </w:p>
        </w:tc>
        <w:tc>
          <w:tcPr>
            <w:tcW w:w="140" w:type="dxa"/>
            <w:vAlign w:val="bottom"/>
          </w:tcPr>
          <w:p>
            <w:pPr>
              <w:spacing w:after="0"/>
              <w:rPr>
                <w:sz w:val="20"/>
                <w:szCs w:val="20"/>
                <w:color w:val="auto"/>
              </w:rPr>
            </w:pPr>
          </w:p>
        </w:tc>
      </w:tr>
      <w:tr>
        <w:trPr>
          <w:trHeight w:val="25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(6,104,672)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(4,840,440)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(3,114,326)</w:t>
            </w:r>
          </w:p>
        </w:tc>
      </w:tr>
      <w:tr>
        <w:trPr>
          <w:trHeight w:val="250"/>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(7,710,156)</w:t>
            </w: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gridSpan w:val="2"/>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(922,254)</w:t>
            </w:r>
          </w:p>
        </w:tc>
        <w:tc>
          <w:tcPr>
            <w:tcW w:w="140" w:type="dxa"/>
            <w:vAlign w:val="bottom"/>
            <w:tcBorders>
              <w:top w:val="single" w:sz="8" w:color="CCEEFF"/>
            </w:tcBorders>
          </w:tcPr>
          <w:p>
            <w:pPr>
              <w:spacing w:after="0"/>
              <w:rPr>
                <w:sz w:val="21"/>
                <w:szCs w:val="21"/>
                <w:color w:val="auto"/>
              </w:rPr>
            </w:pPr>
          </w:p>
        </w:tc>
      </w:tr>
      <w:tr>
        <w:trPr>
          <w:trHeight w:val="275"/>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(656,486)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(303,139)</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50"/>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80" w:type="dxa"/>
            <w:vAlign w:val="bottom"/>
            <w:tcBorders>
              <w:top w:val="single" w:sz="8" w:color="CCEEFF"/>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(8,366,642)</w:t>
            </w: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gridSpan w:val="2"/>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(1,225,393)</w:t>
            </w:r>
          </w:p>
        </w:tc>
        <w:tc>
          <w:tcPr>
            <w:tcW w:w="140" w:type="dxa"/>
            <w:vAlign w:val="bottom"/>
            <w:tcBorders>
              <w:top w:val="single" w:sz="8" w:color="CCEEFF"/>
            </w:tcBorders>
          </w:tcPr>
          <w:p>
            <w:pPr>
              <w:spacing w:after="0"/>
              <w:rPr>
                <w:sz w:val="21"/>
                <w:szCs w:val="21"/>
                <w:color w:val="auto"/>
              </w:rPr>
            </w:pPr>
          </w:p>
        </w:tc>
      </w:tr>
      <w:tr>
        <w:trPr>
          <w:trHeight w:val="25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(8,366,642)</w:t>
            </w:r>
          </w:p>
        </w:tc>
        <w:tc>
          <w:tcPr>
            <w:tcW w:w="120" w:type="dxa"/>
            <w:vAlign w:val="bottom"/>
          </w:tcPr>
          <w:p>
            <w:pPr>
              <w:spacing w:after="0"/>
              <w:rPr>
                <w:sz w:val="21"/>
                <w:szCs w:val="21"/>
                <w:color w:val="auto"/>
              </w:rPr>
            </w:pPr>
          </w:p>
        </w:tc>
        <w:tc>
          <w:tcPr>
            <w:tcW w:w="14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(1,148,255)</w:t>
            </w: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60" w:right="319"/>
        <w:spacing w:after="0" w:line="282" w:lineRule="auto"/>
        <w:rPr>
          <w:sz w:val="20"/>
          <w:szCs w:val="20"/>
          <w:color w:val="auto"/>
        </w:rPr>
      </w:pPr>
      <w:r>
        <w:rPr>
          <w:rFonts w:ascii="Times New Roman" w:cs="Times New Roman" w:eastAsia="Times New Roman" w:hAnsi="Times New Roman"/>
          <w:sz w:val="18"/>
          <w:szCs w:val="18"/>
          <w:color w:val="auto"/>
        </w:rPr>
        <w:t>As of September 30, 2025 and March 31, 2025, all long-lived assets and all of the revenues generated are attributed to the Group’s operations in Hong Kong.</w:t>
      </w:r>
    </w:p>
    <w:p>
      <w:pPr>
        <w:spacing w:after="0" w:line="158" w:lineRule="exact"/>
        <w:rPr>
          <w:sz w:val="20"/>
          <w:szCs w:val="20"/>
          <w:color w:val="auto"/>
        </w:rPr>
      </w:pPr>
    </w:p>
    <w:p>
      <w:pPr>
        <w:ind w:left="640" w:hanging="348"/>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COLLATERALIZED TRANSACTIONS</w:t>
      </w:r>
    </w:p>
    <w:p>
      <w:pPr>
        <w:spacing w:after="0" w:line="121" w:lineRule="exact"/>
        <w:rPr>
          <w:rFonts w:ascii="Times New Roman" w:cs="Times New Roman" w:eastAsia="Times New Roman" w:hAnsi="Times New Roman"/>
          <w:sz w:val="18"/>
          <w:szCs w:val="18"/>
          <w:b w:val="1"/>
          <w:bCs w:val="1"/>
          <w:color w:val="auto"/>
        </w:rPr>
      </w:pPr>
    </w:p>
    <w:p>
      <w:pPr>
        <w:jc w:val="both"/>
        <w:ind w:left="660" w:right="29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WSI engages in margin financing transactions with its clients. Margin loans generated from margin lending activity for securities traded in the secondary market are collateralized by client-owned securities. WSI monitors the required margin and collateral level on a daily basis in compliance with regulatory and internal guidelines. Under applicable agreements, clients are required to deposit additional collateral or reduce holding positions, when necessary to avoid forced liquidation of their positions. Pursuant to the authorization obtained from margin clients, the Company further repledges the collaterals to financial institutions to obtain the funding for the margin or other businesses.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139" w:lineRule="exact"/>
        <w:rPr>
          <w:sz w:val="20"/>
          <w:szCs w:val="20"/>
          <w:color w:val="auto"/>
        </w:rPr>
      </w:pPr>
    </w:p>
    <w:p>
      <w:pPr>
        <w:ind w:left="66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margin loans and clients’ collaterals received and repledged by the Group as of September 30, 2025 and March 31, 2025:</w:t>
      </w:r>
    </w:p>
    <w:p>
      <w:pPr>
        <w:spacing w:after="0" w:line="200" w:lineRule="exact"/>
        <w:rPr>
          <w:sz w:val="20"/>
          <w:szCs w:val="20"/>
          <w:color w:val="auto"/>
        </w:rPr>
      </w:pP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0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44"/>
        </w:trPr>
        <w:tc>
          <w:tcPr>
            <w:tcW w:w="4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17"/>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4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loan extended to margin clients*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12,716,345</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4,364,851</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value of securities held by margin clients</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$171,210,761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$133,458,270</w:t>
            </w:r>
          </w:p>
        </w:tc>
      </w:tr>
      <w:tr>
        <w:trPr>
          <w:trHeight w:val="25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loan received from financial institutions**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11,504,379</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7,234,684</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value of securities repledged to financial institutions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17,120,792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10,179,699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177165</wp:posOffset>
            </wp:positionV>
            <wp:extent cx="8229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3" w:lineRule="exact"/>
        <w:rPr>
          <w:sz w:val="20"/>
          <w:szCs w:val="20"/>
          <w:color w:val="auto"/>
        </w:rPr>
      </w:pPr>
    </w:p>
    <w:p>
      <w:pPr>
        <w:ind w:left="1000" w:right="319" w:hanging="348"/>
        <w:spacing w:after="0" w:line="261" w:lineRule="auto"/>
        <w:tabs>
          <w:tab w:leader="none" w:pos="1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includes margin loan receivables from WGI totaling nil million and $3.5 million, net of client payables to WGI amounting to nil and $0.2 million, as of September 30, 2025 and March 31, 2025, respectively.</w:t>
      </w:r>
    </w:p>
    <w:p>
      <w:pPr>
        <w:spacing w:after="0" w:line="1" w:lineRule="exact"/>
        <w:rPr>
          <w:sz w:val="20"/>
          <w:szCs w:val="20"/>
          <w:color w:val="auto"/>
        </w:rPr>
      </w:pPr>
    </w:p>
    <w:p>
      <w:pPr>
        <w:ind w:left="1000" w:hanging="348"/>
        <w:spacing w:after="0"/>
        <w:tabs>
          <w:tab w:leader="none" w:pos="10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in Payable to Brokers and Clearing Organizations.</w:t>
      </w:r>
    </w:p>
    <w:p>
      <w:pPr>
        <w:spacing w:after="0" w:line="203"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CAPITAL REQUIREMENTS</w:t>
      </w:r>
    </w:p>
    <w:p>
      <w:pPr>
        <w:spacing w:after="0" w:line="121" w:lineRule="exact"/>
        <w:rPr>
          <w:rFonts w:ascii="Times New Roman" w:cs="Times New Roman" w:eastAsia="Times New Roman" w:hAnsi="Times New Roman"/>
          <w:sz w:val="18"/>
          <w:szCs w:val="18"/>
          <w:b w:val="1"/>
          <w:bCs w:val="1"/>
          <w:color w:val="auto"/>
        </w:rPr>
      </w:pPr>
    </w:p>
    <w:p>
      <w:pPr>
        <w:jc w:val="both"/>
        <w:ind w:left="660" w:right="29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broker-dealer subsidiary, WSI, which is located in Hong Kong, is subject to capital requirements determined by its respective regulator, the Securities and Futures (Financial Resources) Rules and the Securities and Future Ordinance. Regulatory capital requirements could restrict the operating subsidiary from expanding its business and declaring dividends if its required capital does not meet regulatory requirements. As of September 30, 2025 and March 31, 2025, WSI is required to maintain minimum liquid capital of $385,609 (HK$3.0 million) and was in compliance with its regulatory capital requirements.</w:t>
      </w:r>
    </w:p>
    <w:p>
      <w:pPr>
        <w:spacing w:after="0" w:line="183"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rFonts w:ascii="Times New Roman" w:cs="Times New Roman" w:eastAsia="Times New Roman" w:hAnsi="Times New Roman"/>
          <w:sz w:val="18"/>
          <w:szCs w:val="18"/>
          <w:b w:val="1"/>
          <w:bCs w:val="1"/>
          <w:color w:val="auto"/>
        </w:rPr>
      </w:pPr>
    </w:p>
    <w:p>
      <w:pPr>
        <w:jc w:val="both"/>
        <w:ind w:left="660" w:right="2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Group may be a party to various legal actions arising in the ordinary course of business. Litigation is subject to inherent uncertainties, and an adverse result in these or other matters may arise from time to time that may harm business. The Group accrues costs associated with these matters when they become probable and the amount can be reasonably estimated. Legal costs incurred in connection with loss contingencies are expensed as incurred.</w:t>
      </w:r>
    </w:p>
    <w:p>
      <w:pPr>
        <w:spacing w:after="0" w:line="75" w:lineRule="exact"/>
        <w:rPr>
          <w:rFonts w:ascii="Times New Roman" w:cs="Times New Roman" w:eastAsia="Times New Roman" w:hAnsi="Times New Roman"/>
          <w:sz w:val="18"/>
          <w:szCs w:val="18"/>
          <w:b w:val="1"/>
          <w:bCs w:val="1"/>
          <w:color w:val="auto"/>
        </w:rPr>
      </w:pPr>
    </w:p>
    <w:p>
      <w:pPr>
        <w:jc w:val="both"/>
        <w:ind w:left="660" w:right="2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7, 2024, WSI obtained a bank overdrafts limit of approximately $2.6 million (equivalent to HK$20.0 million) from a financial institution in Hong Kong. When WSI utilizes the bank overdraft, interest will be charged at the bank’s best lending rate plus 2.5% per annum. As of September 30, 2025 and March 31, 2025, the Company utilized $1.6 million and nil bank overdraft limit, respectively.</w:t>
      </w:r>
    </w:p>
    <w:p>
      <w:pPr>
        <w:spacing w:after="0" w:line="71" w:lineRule="exact"/>
        <w:rPr>
          <w:rFonts w:ascii="Times New Roman" w:cs="Times New Roman" w:eastAsia="Times New Roman" w:hAnsi="Times New Roman"/>
          <w:sz w:val="18"/>
          <w:szCs w:val="18"/>
          <w:b w:val="1"/>
          <w:bCs w:val="1"/>
          <w:color w:val="auto"/>
        </w:rPr>
      </w:pPr>
    </w:p>
    <w:p>
      <w:pPr>
        <w:jc w:val="both"/>
        <w:ind w:left="660" w:right="2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six months ended September 30, 2025 and 2024, except for the matters mentioned above, the Group is not aware of any material legal claims or litigation that, individually or in the aggregate, could have a material adverse impact on the Group’s unaudited condensed consolidated financial position, results of operations, and cash flows.</w:t>
      </w:r>
    </w:p>
    <w:p>
      <w:pPr>
        <w:spacing w:after="0" w:line="175"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660" w:right="3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evaluated subsequent events through March 2, 2026 the date of issuance of the unaudited condensed consolidated financial statements.</w:t>
      </w:r>
    </w:p>
    <w:p>
      <w:pPr>
        <w:spacing w:after="0" w:line="53" w:lineRule="exact"/>
        <w:rPr>
          <w:rFonts w:ascii="Times New Roman" w:cs="Times New Roman" w:eastAsia="Times New Roman" w:hAnsi="Times New Roman"/>
          <w:sz w:val="18"/>
          <w:szCs w:val="18"/>
          <w:b w:val="1"/>
          <w:bCs w:val="1"/>
          <w:color w:val="auto"/>
        </w:rPr>
      </w:pPr>
    </w:p>
    <w:p>
      <w:pPr>
        <w:jc w:val="both"/>
        <w:ind w:left="660" w:right="2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2026, WSI, a wholly-owned subsidiary entered into a facility letter agreement amendment (“facility letter”) with certain banking corporation in Hong Kong, to increase its existing banking facilities from HK$20 million to HK$40 million. The facilities are revolving in nature and intended to support WSI’s trading activities. This increase provides additional liquidity to WSI but does not impact the consolidated financial position as of September 30, 2025.</w:t>
      </w:r>
    </w:p>
    <w:p>
      <w:pPr>
        <w:spacing w:after="0" w:line="75" w:lineRule="exact"/>
        <w:rPr>
          <w:rFonts w:ascii="Times New Roman" w:cs="Times New Roman" w:eastAsia="Times New Roman" w:hAnsi="Times New Roman"/>
          <w:sz w:val="18"/>
          <w:szCs w:val="18"/>
          <w:b w:val="1"/>
          <w:bCs w:val="1"/>
          <w:color w:val="auto"/>
        </w:rPr>
      </w:pPr>
    </w:p>
    <w:p>
      <w:pPr>
        <w:jc w:val="both"/>
        <w:ind w:left="660" w:right="3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the matters mentioned above and those disclosed elsewhere in the unaudited condensed consolidated financial statements, there were no other subsequent events occurred that would require recognition or disclosure in the Group’s unaudited condensed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171450</wp:posOffset>
            </wp:positionV>
            <wp:extent cx="52120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1903095</wp:posOffset>
            </wp:positionV>
            <wp:extent cx="3840480" cy="1637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840480" cy="163703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Waton Financial Limited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Up to 5,359,719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518160</wp:posOffset>
            </wp:positionV>
            <wp:extent cx="10972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163195</wp:posOffset>
            </wp:positionV>
            <wp:extent cx="52120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222885</wp:posOffset>
            </wp:positionV>
            <wp:extent cx="5212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351790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currently in effect provide that, subject to certain limitations, we indemnify against all expenses, including legal fees, and against all judgments, fines and amounts paid in settlement and reasonably incurred in connection with legal, administrative or investigative proceedings for any person who:</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party or is threatened to be made a party to any threatened, pending or completed proceedings, whether civil, criminal, administrative or investigative, by reason of the fact that the person is or was our director;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at our request, serving as a director or officer of, or in any other capacity is or was acting for, another body corporate or a partnership, joint venture, trust or other enterprise.</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These indemnities only apply if the person acted honestly and in good faith with a view to our best interests and, in the case of criminal proceedings, the person had no reasonable cause to believe that his conduct was unlawful. The decision of the directors as to whether the person acted honestly and in good faith and with a view to the best interests of the company and as to whether the person had no reasonable cause to believe that his conduct was unlawful is, in the absence of fraud, sufficient for the purposes of the memorandum and articles of association, as amended, unless a question of law is involved. The termination of any proceedings by any judgment, order, settlement, conviction or the entering of a nolle prosequi does not, by itself, create a presumption that the person did not act honestly and in good faith and with a view to the best interests of the company or that the person had reasonable cause to believe that his conduct was unlawful.</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any such person in connection with claims made by reason of their being a director or officer of our Company. We have purchased the directors’ and officers’ liability insurance for the Company’s directors and officers.</w:t>
      </w:r>
    </w:p>
    <w:p>
      <w:pPr>
        <w:spacing w:after="0" w:line="179"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During the past three years, our Company has issued securities to certain founding shareholder which were not registered under the Securities Act. We believe that each of the issuances was exempt from registration under the Securities Act in reliance on Section 4(2) of the Securities Act regarding transactions not involving a public offering or in reliance on Regulation S under the Securities Act regarding sales by an issuer in offshore transactions. No underwriters were involved in these issuances of securities. For the history of our share issuances and significant changes in the ownership of our Ordinary Shares, see “</w:t>
      </w:r>
      <w:r>
        <w:rPr>
          <w:rFonts w:ascii="Times New Roman" w:cs="Times New Roman" w:eastAsia="Times New Roman" w:hAnsi="Times New Roman"/>
          <w:sz w:val="18"/>
          <w:szCs w:val="18"/>
          <w:i w:val="1"/>
          <w:iCs w:val="1"/>
          <w:color w:val="auto"/>
        </w:rPr>
        <w:t>Description of Share Capital—History of Share Capital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Principal Shareholders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34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5"/>
        </w:trPr>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340" w:type="dxa"/>
            <w:vAlign w:val="bottom"/>
          </w:tcPr>
          <w:p>
            <w:pPr>
              <w:ind w:left="3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r>
      <w:tr>
        <w:trPr>
          <w:trHeight w:val="196"/>
        </w:trPr>
        <w:tc>
          <w:tcPr>
            <w:tcW w:w="1080" w:type="dxa"/>
            <w:vAlign w:val="bottom"/>
            <w:gridSpan w:val="2"/>
            <w:shd w:val="clear" w:color="auto" w:fill="CCEEFF"/>
          </w:tcPr>
          <w:p>
            <w:pPr>
              <w:jc w:val="right"/>
              <w:ind w:right="860"/>
              <w:spacing w:after="0" w:line="196" w:lineRule="exact"/>
              <w:rPr>
                <w:rFonts w:ascii="Times New Roman" w:cs="Times New Roman" w:eastAsia="Times New Roman" w:hAnsi="Times New Roman"/>
                <w:sz w:val="18"/>
                <w:szCs w:val="18"/>
                <w:color w:val="0000EE"/>
                <w:w w:val="88"/>
              </w:rPr>
            </w:pPr>
            <w:hyperlink r:id="rId128">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w:t>
              </w:r>
            </w:hyperlink>
          </w:p>
        </w:tc>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Third Amended and Restated Memorandum and Articles of Association of the Company, as currently</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effect (incorporated herein by reference to Exhibit 3.2 to the registration statement on Form F-1</w:t>
            </w:r>
          </w:p>
        </w:tc>
      </w:tr>
      <w:tr>
        <w:trPr>
          <w:trHeight w:val="216"/>
        </w:trPr>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 No. 333-283424), as amended, initially filed with the Securities and Exchange Commission on</w:t>
            </w:r>
          </w:p>
        </w:tc>
      </w:tr>
      <w:tr>
        <w:trPr>
          <w:trHeight w:val="248"/>
        </w:trPr>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22, 2024)</w:t>
            </w:r>
          </w:p>
        </w:tc>
      </w:tr>
      <w:tr>
        <w:trPr>
          <w:trHeight w:val="189"/>
        </w:trPr>
        <w:tc>
          <w:tcPr>
            <w:tcW w:w="1080" w:type="dxa"/>
            <w:vAlign w:val="bottom"/>
            <w:gridSpan w:val="2"/>
          </w:tcPr>
          <w:p>
            <w:pPr>
              <w:jc w:val="right"/>
              <w:ind w:right="860"/>
              <w:spacing w:after="0" w:line="189" w:lineRule="exact"/>
              <w:rPr>
                <w:rFonts w:ascii="Times New Roman" w:cs="Times New Roman" w:eastAsia="Times New Roman" w:hAnsi="Times New Roman"/>
                <w:sz w:val="18"/>
                <w:szCs w:val="18"/>
                <w:color w:val="0000EE"/>
                <w:w w:val="88"/>
              </w:rPr>
            </w:pPr>
            <w:hyperlink r:id="rId12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7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Specimen Certificate for Ordinary Shares (incorporated herein by reference to Exhibit 4.1 to the</w:t>
            </w:r>
          </w:p>
        </w:tc>
      </w:tr>
      <w:tr>
        <w:trPr>
          <w:trHeight w:val="218"/>
        </w:trPr>
        <w:tc>
          <w:tcPr>
            <w:tcW w:w="220" w:type="dxa"/>
            <w:vAlign w:val="bottom"/>
            <w:tcBorders>
              <w:top w:val="single" w:sz="8" w:color="0000EE"/>
            </w:tcBorders>
          </w:tcPr>
          <w:p>
            <w:pPr>
              <w:spacing w:after="0"/>
              <w:rPr>
                <w:sz w:val="18"/>
                <w:szCs w:val="18"/>
                <w:color w:val="auto"/>
              </w:rPr>
            </w:pPr>
          </w:p>
        </w:tc>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333-283424), as amended, initially filed with the</w:t>
            </w:r>
          </w:p>
        </w:tc>
      </w:tr>
      <w:tr>
        <w:trPr>
          <w:trHeight w:val="241"/>
        </w:trPr>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and Exchange Commission on November 22, 2024)</w:t>
            </w:r>
          </w:p>
        </w:tc>
      </w:tr>
      <w:tr>
        <w:trPr>
          <w:trHeight w:val="196"/>
        </w:trPr>
        <w:tc>
          <w:tcPr>
            <w:tcW w:w="1080" w:type="dxa"/>
            <w:vAlign w:val="bottom"/>
            <w:gridSpan w:val="2"/>
            <w:shd w:val="clear" w:color="auto" w:fill="CCEEFF"/>
          </w:tcPr>
          <w:p>
            <w:pPr>
              <w:jc w:val="right"/>
              <w:ind w:right="860"/>
              <w:spacing w:after="0" w:line="195" w:lineRule="exact"/>
              <w:rPr>
                <w:rFonts w:ascii="Times New Roman" w:cs="Times New Roman" w:eastAsia="Times New Roman" w:hAnsi="Times New Roman"/>
                <w:sz w:val="18"/>
                <w:szCs w:val="18"/>
                <w:color w:val="0000EE"/>
                <w:w w:val="88"/>
              </w:rPr>
            </w:pPr>
            <w:hyperlink r:id="rId130">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73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Pre-IPO Shareholders Agreement between the Registrant and other parties thereto dated January 3,</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(incorporated herein by reference to Exhibit 4.2 to the Registration Statement on Form F-1 (File</w:t>
            </w:r>
          </w:p>
        </w:tc>
      </w:tr>
      <w:tr>
        <w:trPr>
          <w:trHeight w:val="216"/>
        </w:trPr>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333-283424), as amended, initially filed with the Securities and Exchange Commission on</w:t>
            </w:r>
          </w:p>
        </w:tc>
      </w:tr>
      <w:tr>
        <w:trPr>
          <w:trHeight w:val="234"/>
        </w:trPr>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22, 2024)</w:t>
            </w:r>
          </w:p>
        </w:tc>
      </w:tr>
      <w:tr>
        <w:trPr>
          <w:trHeight w:val="54"/>
        </w:trPr>
        <w:tc>
          <w:tcPr>
            <w:tcW w:w="2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7340" w:type="dxa"/>
            <w:vAlign w:val="bottom"/>
            <w:shd w:val="clear" w:color="auto" w:fill="CCEEFF"/>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4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r>
      <w:tr>
        <w:trPr>
          <w:trHeight w:val="230"/>
        </w:trPr>
        <w:tc>
          <w:tcPr>
            <w:tcW w:w="480" w:type="dxa"/>
            <w:vAlign w:val="bottom"/>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hyperlink>
          </w:p>
        </w:tc>
        <w:tc>
          <w:tcPr>
            <w:tcW w:w="70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Opinion of Carey Olsen Singapore LLP regarding the validity of the Ordinary Shares</w:t>
            </w:r>
          </w:p>
        </w:tc>
      </w:tr>
      <w:tr>
        <w:trPr>
          <w:trHeight w:val="189"/>
        </w:trPr>
        <w:tc>
          <w:tcPr>
            <w:tcW w:w="360" w:type="dxa"/>
            <w:vAlign w:val="bottom"/>
            <w:tcBorders>
              <w:top w:val="single" w:sz="8" w:color="0000EE"/>
            </w:tcBorders>
            <w:gridSpan w:val="2"/>
          </w:tcPr>
          <w:p>
            <w:pPr>
              <w:spacing w:after="0" w:line="189"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72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Form of Employment Agreement between the Company and each of its directors and executive</w:t>
            </w:r>
          </w:p>
        </w:tc>
      </w:tr>
      <w:tr>
        <w:trPr>
          <w:trHeight w:val="218"/>
        </w:trPr>
        <w:tc>
          <w:tcPr>
            <w:tcW w:w="3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officers (incorporated herein by reference to Exhibit 10.1 the Registration Statement on Form F-1</w:t>
            </w: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(File No. 333-283424), as amended, initially filed with the Securities and Exchange Commission on</w:t>
            </w:r>
          </w:p>
        </w:tc>
      </w:tr>
      <w:tr>
        <w:trPr>
          <w:trHeight w:val="241"/>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2024)</w:t>
            </w:r>
          </w:p>
        </w:tc>
      </w:tr>
      <w:tr>
        <w:trPr>
          <w:trHeight w:val="196"/>
        </w:trPr>
        <w:tc>
          <w:tcPr>
            <w:tcW w:w="360" w:type="dxa"/>
            <w:vAlign w:val="bottom"/>
            <w:gridSpan w:val="2"/>
            <w:shd w:val="clear" w:color="auto" w:fill="CCEEFF"/>
          </w:tcPr>
          <w:p>
            <w:pPr>
              <w:spacing w:after="0" w:line="195"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Indemnification Agreement between the Company and each of its directors and executive</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officers (incorporated herein by reference to Exhibit 10.2 to the Registration Statement on Form F-1</w:t>
            </w:r>
          </w:p>
        </w:tc>
      </w:tr>
      <w:tr>
        <w:trPr>
          <w:trHeight w:val="216"/>
        </w:trPr>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 No. 333-283424), as amended, initially filed with the Securities and Exchange Commission on</w:t>
            </w:r>
          </w:p>
        </w:tc>
      </w:tr>
      <w:tr>
        <w:trPr>
          <w:trHeight w:val="248"/>
        </w:trPr>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22, 2024)</w:t>
            </w:r>
          </w:p>
        </w:tc>
      </w:tr>
      <w:tr>
        <w:trPr>
          <w:trHeight w:val="189"/>
        </w:trPr>
        <w:tc>
          <w:tcPr>
            <w:tcW w:w="360" w:type="dxa"/>
            <w:vAlign w:val="bottom"/>
            <w:gridSpan w:val="2"/>
          </w:tcPr>
          <w:p>
            <w:pPr>
              <w:spacing w:after="0" w:line="189"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2024 Global Equity Incentive Plan (incorporated herein by reference to Exhibit 10.6 to the</w:t>
            </w:r>
          </w:p>
        </w:tc>
      </w:tr>
      <w:tr>
        <w:trPr>
          <w:trHeight w:val="218"/>
        </w:trPr>
        <w:tc>
          <w:tcPr>
            <w:tcW w:w="3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333-283424), as amended, initially filed with the</w:t>
            </w:r>
          </w:p>
        </w:tc>
      </w:tr>
      <w:tr>
        <w:trPr>
          <w:trHeight w:val="241"/>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and Exchange Commission on November 22, 2024)</w:t>
            </w:r>
          </w:p>
        </w:tc>
      </w:tr>
      <w:tr>
        <w:trPr>
          <w:trHeight w:val="230"/>
        </w:trPr>
        <w:tc>
          <w:tcPr>
            <w:tcW w:w="48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7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Securities Purchase Agreement</w:t>
            </w:r>
          </w:p>
        </w:tc>
      </w:tr>
      <w:tr>
        <w:trPr>
          <w:trHeight w:val="189"/>
        </w:trPr>
        <w:tc>
          <w:tcPr>
            <w:tcW w:w="360" w:type="dxa"/>
            <w:vAlign w:val="bottom"/>
            <w:tcBorders>
              <w:top w:val="single" w:sz="8" w:color="0000EE"/>
            </w:tcBorders>
            <w:gridSpan w:val="2"/>
          </w:tcPr>
          <w:p>
            <w:pPr>
              <w:spacing w:after="0" w:line="189"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72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Letter from MaloneBailey, LLP regarding change in registrant’s certifying accountant (incorporated</w:t>
            </w:r>
          </w:p>
        </w:tc>
      </w:tr>
      <w:tr>
        <w:trPr>
          <w:trHeight w:val="218"/>
        </w:trPr>
        <w:tc>
          <w:tcPr>
            <w:tcW w:w="3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herein by reference to Exhibit 16.1 to the Registration Statement on Form F-1 (File No. 333-</w:t>
            </w: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283424), as amended, initially filed with the Securities and Exchange Commission on</w:t>
            </w:r>
          </w:p>
        </w:tc>
      </w:tr>
      <w:tr>
        <w:trPr>
          <w:trHeight w:val="241"/>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2024)</w:t>
            </w:r>
          </w:p>
        </w:tc>
      </w:tr>
      <w:tr>
        <w:trPr>
          <w:trHeight w:val="230"/>
        </w:trPr>
        <w:tc>
          <w:tcPr>
            <w:tcW w:w="400" w:type="dxa"/>
            <w:vAlign w:val="bottom"/>
            <w:tcBorders>
              <w:bottom w:val="single" w:sz="8" w:color="0000EE"/>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93"/>
              </w:rPr>
              <w:t>21.</w:t>
            </w:r>
            <w:r>
              <w:rPr>
                <w:rFonts w:ascii="Times New Roman" w:cs="Times New Roman" w:eastAsia="Times New Roman" w:hAnsi="Times New Roman"/>
                <w:sz w:val="18"/>
                <w:szCs w:val="18"/>
                <w:u w:val="single" w:color="auto"/>
                <w:color w:val="0000EE"/>
                <w:w w:val="93"/>
              </w:rPr>
              <w:t>1*</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List of subsidiaries of the Registrant</w:t>
            </w:r>
          </w:p>
        </w:tc>
      </w:tr>
      <w:tr>
        <w:trPr>
          <w:trHeight w:val="189"/>
        </w:trPr>
        <w:tc>
          <w:tcPr>
            <w:tcW w:w="4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700" w:type="dxa"/>
            <w:vAlign w:val="bottom"/>
          </w:tcPr>
          <w:p>
            <w:pPr>
              <w:spacing w:after="0"/>
              <w:rPr>
                <w:sz w:val="16"/>
                <w:szCs w:val="16"/>
                <w:color w:val="auto"/>
              </w:rPr>
            </w:pPr>
          </w:p>
        </w:tc>
        <w:tc>
          <w:tcPr>
            <w:tcW w:w="7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Consent of UHY LLP</w:t>
            </w:r>
          </w:p>
        </w:tc>
      </w:tr>
      <w:tr>
        <w:trPr>
          <w:trHeight w:val="34"/>
        </w:trPr>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189"/>
        </w:trPr>
        <w:tc>
          <w:tcPr>
            <w:tcW w:w="1180" w:type="dxa"/>
            <w:vAlign w:val="bottom"/>
            <w:gridSpan w:val="5"/>
            <w:shd w:val="clear" w:color="auto" w:fill="CCEEFF"/>
          </w:tcPr>
          <w:p>
            <w:pPr>
              <w:spacing w:after="0" w:line="189"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hyperlink>
          </w:p>
        </w:tc>
        <w:tc>
          <w:tcPr>
            <w:tcW w:w="7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Consent of Carey Olsen Singapore LLP (included in Exhibit 5.1)</w:t>
            </w:r>
          </w:p>
        </w:tc>
      </w:tr>
      <w:tr>
        <w:trPr>
          <w:trHeight w:val="34"/>
        </w:trPr>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7240" w:type="dxa"/>
            <w:vAlign w:val="bottom"/>
            <w:tcBorders>
              <w:top w:val="single" w:sz="8" w:color="CCEEFF"/>
            </w:tcBorders>
            <w:shd w:val="clear" w:color="auto" w:fill="CCEEFF"/>
          </w:tcPr>
          <w:p>
            <w:pPr>
              <w:spacing w:after="0"/>
              <w:rPr>
                <w:sz w:val="2"/>
                <w:szCs w:val="2"/>
                <w:color w:val="auto"/>
              </w:rPr>
            </w:pPr>
          </w:p>
        </w:tc>
      </w:tr>
      <w:tr>
        <w:trPr>
          <w:trHeight w:val="189"/>
        </w:trPr>
        <w:tc>
          <w:tcPr>
            <w:tcW w:w="1180" w:type="dxa"/>
            <w:vAlign w:val="bottom"/>
            <w:gridSpan w:val="5"/>
          </w:tcPr>
          <w:p>
            <w:pPr>
              <w:spacing w:after="0" w:line="189"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hyperlink>
          </w:p>
        </w:tc>
        <w:tc>
          <w:tcPr>
            <w:tcW w:w="7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Consent of Global Law Office</w:t>
            </w:r>
          </w:p>
        </w:tc>
      </w:tr>
      <w:tr>
        <w:trPr>
          <w:trHeight w:val="34"/>
        </w:trPr>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23"/>
        </w:trPr>
        <w:tc>
          <w:tcPr>
            <w:tcW w:w="1180" w:type="dxa"/>
            <w:vAlign w:val="bottom"/>
            <w:gridSpan w:val="5"/>
            <w:shd w:val="clear" w:color="auto" w:fill="CCEEFF"/>
          </w:tcPr>
          <w:p>
            <w:pPr>
              <w:spacing w:after="0" w:line="189"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4**</w:t>
              </w:r>
            </w:hyperlink>
          </w:p>
        </w:tc>
        <w:tc>
          <w:tcPr>
            <w:tcW w:w="7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Consent of Han Kun Law Offices LLP</w:t>
            </w:r>
          </w:p>
        </w:tc>
      </w:tr>
      <w:tr>
        <w:trPr>
          <w:trHeight w:val="189"/>
        </w:trPr>
        <w:tc>
          <w:tcPr>
            <w:tcW w:w="36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72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Powers of Attorney (included on signature page)</w:t>
            </w:r>
          </w:p>
        </w:tc>
      </w:tr>
      <w:tr>
        <w:trPr>
          <w:trHeight w:val="34"/>
        </w:trPr>
        <w:tc>
          <w:tcPr>
            <w:tcW w:w="3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189"/>
        </w:trPr>
        <w:tc>
          <w:tcPr>
            <w:tcW w:w="360" w:type="dxa"/>
            <w:vAlign w:val="bottom"/>
            <w:gridSpan w:val="2"/>
            <w:shd w:val="clear" w:color="auto" w:fill="CCEEFF"/>
          </w:tcPr>
          <w:p>
            <w:pPr>
              <w:spacing w:after="0" w:line="189"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Code of Business Conduct and Ethics (incorporated herein by reference to Exhibit 14.1 to the</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333-283424), as amended, initially filed with the</w:t>
            </w:r>
          </w:p>
        </w:tc>
      </w:tr>
      <w:tr>
        <w:trPr>
          <w:trHeight w:val="248"/>
        </w:trPr>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on November 22, 2024)</w:t>
            </w:r>
          </w:p>
        </w:tc>
      </w:tr>
      <w:tr>
        <w:trPr>
          <w:trHeight w:val="239"/>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47"/>
        </w:trPr>
        <w:tc>
          <w:tcPr>
            <w:tcW w:w="1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9"/>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7"/>
        </w:trPr>
        <w:tc>
          <w:tcPr>
            <w:tcW w:w="1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39"/>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7"/>
        </w:trPr>
        <w:tc>
          <w:tcPr>
            <w:tcW w:w="1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9"/>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104*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93"/>
        </w:trPr>
        <w:tc>
          <w:tcPr>
            <w:tcW w:w="360" w:type="dxa"/>
            <w:vAlign w:val="bottom"/>
            <w:tcBorders>
              <w:bottom w:val="single" w:sz="8" w:color="0000EE"/>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4"/>
              </w:rPr>
              <w:t>107*</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24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Filing Fee Table</w:t>
            </w:r>
          </w:p>
        </w:tc>
      </w:tr>
      <w:tr>
        <w:trPr>
          <w:trHeight w:val="74"/>
        </w:trPr>
        <w:tc>
          <w:tcPr>
            <w:tcW w:w="3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7240" w:type="dxa"/>
            <w:vAlign w:val="bottom"/>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300" w:right="7459" w:hanging="8"/>
        <w:spacing w:after="0" w:line="342" w:lineRule="auto"/>
        <w:tabs>
          <w:tab w:leader="none" w:pos="65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 Previously filed</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 Financial Statement Schedules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or the Notes thereto.</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UNDERTAKINGS.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jc w:val="both"/>
        <w:ind w:left="1720" w:right="299" w:hanging="348"/>
        <w:spacing w:after="0" w:line="255" w:lineRule="auto"/>
        <w:tabs>
          <w:tab w:leader="none" w:pos="17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offerings.</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(15 U.S.C. 77j(a)(3))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80"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is relying on Rule 430B:</w:t>
      </w:r>
    </w:p>
    <w:p>
      <w:pPr>
        <w:spacing w:after="0" w:line="117" w:lineRule="exact"/>
        <w:rPr>
          <w:rFonts w:ascii="Times New Roman" w:cs="Times New Roman" w:eastAsia="Times New Roman" w:hAnsi="Times New Roman"/>
          <w:sz w:val="18"/>
          <w:szCs w:val="18"/>
          <w:color w:val="auto"/>
        </w:rPr>
      </w:pPr>
    </w:p>
    <w:p>
      <w:pPr>
        <w:jc w:val="both"/>
        <w:ind w:left="2080" w:right="319" w:hanging="348"/>
        <w:spacing w:after="0" w:line="266" w:lineRule="auto"/>
        <w:tabs>
          <w:tab w:leader="none" w:pos="2080"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undersigned issuer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2080" w:right="299" w:hanging="348"/>
        <w:spacing w:after="0" w:line="253" w:lineRule="auto"/>
        <w:tabs>
          <w:tab w:leader="none" w:pos="2080"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offerings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2100" w:right="299"/>
        <w:spacing w:after="0" w:line="256" w:lineRule="auto"/>
        <w:rPr>
          <w:sz w:val="20"/>
          <w:szCs w:val="20"/>
          <w:color w:val="auto"/>
        </w:rPr>
      </w:pPr>
      <w:r>
        <w:rPr>
          <w:rFonts w:ascii="Times New Roman" w:cs="Times New Roman" w:eastAsia="Times New Roman" w:hAnsi="Times New Roman"/>
          <w:sz w:val="18"/>
          <w:szCs w:val="18"/>
          <w:color w:val="auto"/>
        </w:rPr>
        <w:t>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79" w:lineRule="exact"/>
        <w:rPr>
          <w:sz w:val="20"/>
          <w:szCs w:val="20"/>
          <w:color w:val="auto"/>
        </w:rPr>
      </w:pPr>
    </w:p>
    <w:p>
      <w:pPr>
        <w:jc w:val="both"/>
        <w:ind w:left="1720" w:right="299" w:hanging="348"/>
        <w:spacing w:after="0" w:line="253" w:lineRule="auto"/>
        <w:tabs>
          <w:tab w:leader="none" w:pos="172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is relying on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6"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offerings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offerings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720" w:right="319" w:hanging="348"/>
        <w:spacing w:after="0" w:line="266" w:lineRule="auto"/>
        <w:tabs>
          <w:tab w:leader="none" w:pos="17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offerings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offerings made by the undersigned Registrant to the purchaser.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8" w:lineRule="auto"/>
        <w:tabs>
          <w:tab w:leader="none" w:pos="13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Hong Kong, on March 2, 2026.</w:t>
      </w:r>
    </w:p>
    <w:p>
      <w:pPr>
        <w:spacing w:after="0" w:line="2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Waton Financial Limited</w:t>
      </w:r>
    </w:p>
    <w:p>
      <w:pPr>
        <w:spacing w:after="0" w:line="283" w:lineRule="exact"/>
        <w:rPr>
          <w:sz w:val="20"/>
          <w:szCs w:val="20"/>
          <w:color w:val="auto"/>
        </w:rPr>
      </w:pPr>
    </w:p>
    <w:p>
      <w:pPr>
        <w:ind w:left="536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WEN Huaxin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34290</wp:posOffset>
            </wp:positionV>
            <wp:extent cx="24606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WEN Huaxin</w:t>
      </w:r>
    </w:p>
    <w:p>
      <w:pPr>
        <w:spacing w:after="0" w:line="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121" w:lineRule="exact"/>
        <w:rPr>
          <w:sz w:val="20"/>
          <w:szCs w:val="20"/>
          <w:color w:val="auto"/>
        </w:rPr>
      </w:pPr>
    </w:p>
    <w:p>
      <w:pPr>
        <w:jc w:val="both"/>
        <w:ind w:left="1300" w:right="1300"/>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WEN Huaxin and ZHOU Kai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U.S. Securities and Exchange Commission thereunder, in connection with the registration under the Securities Act of securities of the registrant, including, without limitation, the power and authority to sign the name of each of the undersigned in the capacities indicated below to the Registration Statement on Form F-1 (the “Registration Statement”) to be filed with the U.S. Securities and Exchange Commission with respect to such securities,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89"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1"/>
        </w:trPr>
        <w:tc>
          <w:tcPr>
            <w:tcW w:w="13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 ZHOU Kai</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30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 ZHOU Kai</w:t>
            </w:r>
          </w:p>
        </w:tc>
        <w:tc>
          <w:tcPr>
            <w:tcW w:w="22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30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13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 WEN Huaxin</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30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 WEN Huaxin</w:t>
            </w:r>
          </w:p>
        </w:tc>
        <w:tc>
          <w:tcPr>
            <w:tcW w:w="22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 CHU Chun On Franco</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Name: CHU Chun On Franco</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 FUNG Chi Kin</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Name: FUNG Chi Kin</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 DU Haibo</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Name: DU Haibo</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 JIANG Wen</w:t>
            </w:r>
          </w:p>
        </w:tc>
        <w:tc>
          <w:tcPr>
            <w:tcW w:w="2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Name: JIANG Wen</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1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II-5</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America of Waton Financial Limited, has signed this registration statement or amendment thereto in New York, NY on March 2, 2026.</w:t>
      </w:r>
    </w:p>
    <w:p>
      <w:pPr>
        <w:spacing w:after="0" w:line="2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79" w:lineRule="exact"/>
        <w:rPr>
          <w:sz w:val="20"/>
          <w:szCs w:val="20"/>
          <w:color w:val="auto"/>
        </w:rPr>
      </w:pPr>
    </w:p>
    <w:p>
      <w:pPr>
        <w:ind w:left="4360"/>
        <w:spacing w:after="0"/>
        <w:tabs>
          <w:tab w:leader="none" w:pos="482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34290</wp:posOffset>
            </wp:positionV>
            <wp:extent cx="24606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Title:Senior Vice President on behalf of</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9019"/>
          </w:cols>
          <w:pgMar w:left="1440" w:top="263"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 2026, between Waton Financial Limited, a British Virgin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5" w:name="page86"/>
    <w:bookmarkEnd w:id="8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Hunter Taubman Fischer &amp; Li LLC, with regards to matters of U.S. federal securities law, and Carey Olsen Singapore LLP with regards to matters of British Virgin Islands law.</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agreed to by both parties, and (ii) if this Agreement is signed between midnight (New York City time) and 9:00 a.m. (New York City time) on any Trading Day, no later than 9:01 a.m. (New York City time) on the date hereof, unless otherwise agreed to by both parties.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Ordinary Shares or options to employees, officers, consultants or directors of the Company pursuant to any share or option plan duly adopted for such purpose, before or after the date hereof, by a majority of the non-employee members of the Board of Directors or a majority of the members of a committee of non-employee directors established for such purpose for services rendered to the Company; provided that any such securities issued to consultants shall not carry any registration rights that require or permit the filing of any registration statement in connection therewith during the prohibition period in Section 4.11(a) herein; (b) securities upon the exercise or exchange of or conversion of any Shares issued hereunder and/or other securities exercisable or exchangeable for or convertible into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86" w:name="page87"/>
    <w:bookmarkEnd w:id="8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of the Company, no par value,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including, without limitation, any debt, preferred shares, right, option, warrant or other instrument that is at any time convertible into or exercisable or exchangeable for, or otherwise entitles the holder thereof to receive, Ordinary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 subject to adjustment for reverse and forward share splits, share dividends, share combinations and other similar transactions of the Ordinary Shares that occur after the date of this Agreement but on or prior to the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37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the preliminary prospectus included in the Registration Statement at the time the Registration Statement is declared effective.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to the Company’s knowledge,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 complying with Rule 424(b) of the Securities Act.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the Commission on Form F-1 (File No. 333-[•]), as amended, including any post-effective amendment and all information, documents and exhibits filed with or incorporated by reference into such registration statement, which registers the sale of the Shares to the Purchasers and includes any Rule 462(b) Registration Statement.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34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87" w:name="page88"/>
    <w:bookmarkEnd w:id="8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Ordinary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Financing</w:t>
      </w:r>
      <w:r>
        <w:rPr>
          <w:rFonts w:ascii="Times New Roman" w:cs="Times New Roman" w:eastAsia="Times New Roman" w:hAnsi="Times New Roman"/>
          <w:sz w:val="18"/>
          <w:szCs w:val="18"/>
          <w:color w:val="auto"/>
        </w:rPr>
        <w:t>” shall have the meaning ascribed to such term in Section 4.12(a).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Financing Notice</w:t>
      </w:r>
      <w:r>
        <w:rPr>
          <w:rFonts w:ascii="Times New Roman" w:cs="Times New Roman" w:eastAsia="Times New Roman" w:hAnsi="Times New Roman"/>
          <w:sz w:val="18"/>
          <w:szCs w:val="18"/>
          <w:color w:val="auto"/>
        </w:rPr>
        <w:t>” shall have the meaning ascribed to such term in Section 4.12(b).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and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Transhare Corporation, the current transfer agent of the Company, with a mailing address of Bayside Center 1, 17755 North US Highway 19, Suite # 140, Clearwater FL 33764 and an email address of jliu@transhare.com, and any successor transfer agent of the Company.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(and hereby subscribe for), up to an aggregate of $[•] of Shares. On the Closing Date, (i) each Purchaser shall pay its respective Subscription Amount to the Company as set forth on the signature page hereto executed by such Purchaser for the Shares to be issued and sold to such Purchaser at Closing, by wire transfer of immediately available funds in accordance with the Company’s written wire instructions set forth in Section 2.2(a)(iii), and (ii) the Company shall (A) cause the Transfer Agent via The Depository Trust Company Deposit or Withdrawal at Custodian system (“DWAC”) to deliver Shares equal to such Purchaser’s Subscription Amount divided by the Per Share Purchase Price, and (B) deliver to each such Purchaser the other items set forth in Section 2.2 deliverable at the Closing. Upon satisfaction of the covenants and conditions set forth in Sections 2.2 and 2.3, the Closing shall occur at the location as the parties shall mutually agree.</w:t>
      </w:r>
    </w:p>
    <w:p>
      <w:pPr>
        <w:spacing w:after="0" w:line="18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form and substance reasonably satisfactory to Purchasers addressed to the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w:t>
      </w:r>
    </w:p>
    <w:p>
      <w:pPr>
        <w:spacing w:after="0" w:line="206" w:lineRule="exact"/>
        <w:rPr>
          <w:rFonts w:ascii="Times New Roman" w:cs="Times New Roman" w:eastAsia="Times New Roman" w:hAnsi="Times New Roman"/>
          <w:sz w:val="18"/>
          <w:szCs w:val="18"/>
          <w:color w:val="auto"/>
        </w:rPr>
      </w:pPr>
    </w:p>
    <w:p>
      <w:pPr>
        <w:ind w:left="1300" w:firstLine="652"/>
        <w:spacing w:after="0" w:line="282" w:lineRule="auto"/>
        <w:tabs>
          <w:tab w:leader="none" w:pos="25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6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9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lockup agreement in the form of Exhibit C hereof (the “Lock-Up Agreement”), by and between the Company and the shareholders listed on Schedule 2.2(a)(5) attached hereto (which, for the avoidance of doubt, must include all officers, directors and 5% or more holders of Ordinary Shares) (the “Shareholders”), duly executed by the parties thereto; and</w:t>
      </w:r>
    </w:p>
    <w:p>
      <w:pPr>
        <w:spacing w:after="0" w:line="17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and Prospectus (which may be delivered in accordance with Rule 172 under the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ind w:left="1300" w:hanging="656"/>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880" w:hanging="588"/>
        <w:spacing w:after="0"/>
        <w:tabs>
          <w:tab w:leader="none" w:pos="18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56"/>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7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192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880" w:hanging="588"/>
        <w:spacing w:after="0"/>
        <w:tabs>
          <w:tab w:leader="none" w:pos="18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Purchaser hereunder in connection with the Closing are subject to the following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met:</w:t>
      </w:r>
    </w:p>
    <w:p>
      <w:pPr>
        <w:spacing w:after="0" w:line="206"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7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188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840" w:hanging="548"/>
        <w:spacing w:after="0"/>
        <w:tabs>
          <w:tab w:leader="none" w:pos="18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88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be effective and available for the issuance and sale of the Shares hereunder and the Company shall have delivered to such Purchaser the Preliminary Prospectus and the Prospectus as required hereunder;</w:t>
      </w:r>
    </w:p>
    <w:p>
      <w:pPr>
        <w:spacing w:after="0" w:line="161"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72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3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spacing w:after="0" w:line="174" w:lineRule="exact"/>
        <w:rPr>
          <w:sz w:val="20"/>
          <w:szCs w:val="20"/>
          <w:color w:val="auto"/>
        </w:rPr>
      </w:pPr>
    </w:p>
    <w:p>
      <w:pPr>
        <w:jc w:val="both"/>
        <w:ind w:left="660" w:firstLine="644"/>
        <w:spacing w:after="0" w:line="254" w:lineRule="auto"/>
        <w:tabs>
          <w:tab w:leader="none" w:pos="20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Company’s direct and indirect subsidiaries as defined under Rule 405 (each a “Subsidiary” and collectively, the “Subsidiaries”) has been identified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xml:space="preserve"> hereto. Each of the Subsidiaries has been duly incorporated or otherwise organized, is validly existing as a corporation in good standing under the laws of the jurisdiction of its incorporation or organization, has the requisite power and authority to own its property and to conduct its business as described in the Preliminary Prospectus, Prospectus and SEC Reports; all of the equity interests of each Subsidiary have been duly and validly authorized and issued, are owned directly or indirectly by the Company, are fully paid and non-assessable and, are free and clear of all liens, encumbrances, equities or claims. None of the outstanding issued shares or share capital or equity interest in any Subsidiary was issued in violation of pre-emptive or similar rights of any security holder of such Subsidiary. All of the constitutive or organizational documents of each of the Subsidiaries comply with the requirements of applicable laws of its jurisdiction of incorporation or organization and are in full force and effect. Apart from the Subsidiaries, the Company has no direct or indirect Subsidiaries.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8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memorandum and articles of association,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provided, however, that a change in the market price or trading volume of the Ordinary Shares alone shall not be deemed, in and of itself, to constitute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97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5573395</wp:posOffset>
            </wp:positionH>
            <wp:positionV relativeFrom="paragraph">
              <wp:posOffset>-4417695</wp:posOffset>
            </wp:positionV>
            <wp:extent cx="368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ind w:left="-460" w:firstLine="644"/>
        <w:spacing w:after="0" w:line="253" w:lineRule="auto"/>
        <w:tabs>
          <w:tab w:leader="none" w:pos="7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memorandum and articles of association,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7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(iii) notices and/or application(s) to each applicable Trading Market for the listing of the Shares for trading thereon in the time and manner required thereby, (iv) approval of the Board of Directors of the terms and conditions of this Agreement and the transactions contemplated herein; and (v)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9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Shares;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and when the register of members (being prime facie evidence of legal title) is updated to reflect the issuance of the Shares, will be duly and validly issued, fully paid and nonassessable, free and clear of all Liens imposed by the Company. The Company has reserved from its duly authorized share capital the maximum number of Ordinary Shares issuable pursuant to this Agreement. The Company has prepared and filed the Registration Statement in conformity with the requirements of the Securities Act, which became effective on [•],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Preliminary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Preliminary Prospectus or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in light of the circumstances under which they were made, not misleading; and the Preliminary Prospectus, Prospectus and any amendments or supplements thereto, at the time the Preliminary Prospectus,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3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2" w:name="page93"/>
    <w:bookmarkEnd w:id="92"/>
    <w:p>
      <w:pPr>
        <w:jc w:val="both"/>
        <w:ind w:left="-460" w:firstLine="644"/>
        <w:spacing w:after="0" w:line="251" w:lineRule="auto"/>
        <w:tabs>
          <w:tab w:leader="none" w:pos="8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Ordinary Shares owned beneficially, and of record, by Affiliates of the Company as of the date hereof.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 Company has not issued any share capital since its most recently filed Form 20-F, other than (i) pursuant to the exercise of employee share options under the Company’s share option plans disclosed in the SEC Reports, (ii) pursuant to the issuance of Ordinary Shares to employees pursuant to the Company’s employee share purchase plans disclosed in the SEC Reports, and (iii) pursuant to the conversion and/or exercise of Ordinary Share Equivalents outstanding as of the date of the most recently filed Form 20-F. No Person has any right of first refusal, preemptive right, right of participation, or any similar right to participate in the transactions contemplated by the Transaction Documents.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and except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share capital of any Subsidiary, or contracts, commitments, understandings or arrangements by which the Company or any Subsidiary is or may become bound to issue additional Ordinary Shares or Ordinary Share Equivalents or share capital of any Subsidiary. The issuance and sale of the Shares will not obligate the Company or any Subsidiary to issue Ordinary Shares or other securities to any Person (other than the Purchasers).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share capital of the Company was duly authorized, validly issued, fully paid and nonassessable, has been issued in compliance with all applicable federal and state securities laws, and none of such outstanding shares was issued in violation of any preemptive rights or similar rights to subscribe for or purchase securities. Except for the Required Approvals, no further approval or authorization of any shareholders, the Board of Directors, or others is required for the issuance and sale of the Shares.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there are no shareholders agreements, voting agreements or other similar agreements with respect to the Company’s authorized share capital to which the Company is a party or, to the knowledge of the Company, between or among any of the Company’s shareholders.</w:t>
      </w:r>
    </w:p>
    <w:p>
      <w:pPr>
        <w:spacing w:after="0" w:line="3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3" w:name="page94"/>
    <w:bookmarkEnd w:id="93"/>
    <w:p>
      <w:pPr>
        <w:jc w:val="both"/>
        <w:ind w:left="-460" w:firstLine="644"/>
        <w:spacing w:after="0" w:line="252" w:lineRule="auto"/>
        <w:tabs>
          <w:tab w:leader="none" w:pos="8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Preliminary Prospectus and the Prospectus,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or the amendments thereto. Such financial statements have been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9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audited financial statements included within the SEC Reports, except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and (v) the Company has not issued any equity securities to any officer, director or Affiliate, except pursuant to existing Company share option plans. Except for the confidential submission of the Registration Statement, the Company does not have pending before the Commission any request for confidential treatment of information. Except for the issuance of the Shares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None of the Actions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xml:space="preserve">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which could have or reasonably be expected to result in a Material Adverse Effect. There has not been, and to the knowledge of the Company, there is not pending or contemplated or threatened,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3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4" w:name="page95"/>
    <w:bookmarkEnd w:id="94"/>
    <w:p>
      <w:pPr>
        <w:jc w:val="both"/>
        <w:ind w:left="-460" w:firstLine="644"/>
        <w:spacing w:after="0" w:line="253" w:lineRule="auto"/>
        <w:tabs>
          <w:tab w:leader="none" w:pos="80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6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applicable foreign, federal, state and local laws relating to taxes, environmental protection, occupational health and safety, product quality and safety and employment and labor matters, except in each of clause (i), (ii) and (iii)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7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of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5" w:name="page96"/>
    <w:bookmarkEnd w:id="95"/>
    <w:p>
      <w:pPr>
        <w:jc w:val="both"/>
        <w:ind w:left="-460" w:firstLine="644"/>
        <w:spacing w:after="0" w:line="255" w:lineRule="auto"/>
        <w:tabs>
          <w:tab w:leader="none" w:pos="83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9" w:lineRule="auto"/>
        <w:tabs>
          <w:tab w:leader="none" w:pos="8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share option agreements under any share option plan of the Company.</w:t>
      </w: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6" w:name="page97"/>
    <w:bookmarkEnd w:id="96"/>
    <w:p>
      <w:pPr>
        <w:jc w:val="both"/>
        <w:ind w:left="-460" w:firstLine="644"/>
        <w:spacing w:after="0" w:line="252" w:lineRule="auto"/>
        <w:tabs>
          <w:tab w:leader="none" w:pos="8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Preliminary Prospectus and Prospectus, no additional brokerage or finder’s fees or commissions will be payable by the Company or any Subsidiary to any broker, financial advisor or consultant, finder, placement agent, investment banker, bank or other Person with respect to the transactions contemplated by the Transaction Documents. Other than any Persons engaged by any Purchaser,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94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3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7" w:name="page98"/>
    <w:bookmarkEnd w:id="97"/>
    <w:p>
      <w:pPr>
        <w:jc w:val="both"/>
        <w:ind w:left="-460" w:firstLine="644"/>
        <w:spacing w:after="0" w:line="254" w:lineRule="auto"/>
        <w:tabs>
          <w:tab w:leader="none" w:pos="82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Ordinary Shares are registered pursuant to Section 12(b)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19" w:lineRule="exact"/>
        <w:tabs>
          <w:tab w:leader="none" w:pos="8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 under the Company’s articles of association and/or memorandum of association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202"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9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Preliminary Prospectus.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3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8" w:name="page99"/>
    <w:bookmarkEnd w:id="98"/>
    <w:p>
      <w:pPr>
        <w:jc w:val="both"/>
        <w:ind w:left="-460" w:firstLine="644"/>
        <w:spacing w:after="0" w:line="252" w:lineRule="auto"/>
        <w:tabs>
          <w:tab w:leader="none" w:pos="7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as of their respective filing dates, and </w:t>
      </w:r>
      <w:r>
        <w:rPr>
          <w:rFonts w:ascii="Times New Roman" w:cs="Times New Roman" w:eastAsia="Times New Roman" w:hAnsi="Times New Roman"/>
          <w:sz w:val="18"/>
          <w:szCs w:val="18"/>
          <w:u w:val="single" w:color="auto"/>
          <w:color w:val="auto"/>
        </w:rPr>
        <w:t>Schedule 3.1(aa)</w:t>
      </w:r>
      <w:r>
        <w:rPr>
          <w:rFonts w:ascii="Times New Roman" w:cs="Times New Roman" w:eastAsia="Times New Roman" w:hAnsi="Times New Roman"/>
          <w:sz w:val="18"/>
          <w:szCs w:val="18"/>
          <w:color w:val="auto"/>
        </w:rPr>
        <w:t xml:space="preserve"> set forth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83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4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The Company’s accounting firm is set forth on </w:t>
      </w:r>
      <w:r>
        <w:rPr>
          <w:rFonts w:ascii="Times New Roman" w:cs="Times New Roman" w:eastAsia="Times New Roman" w:hAnsi="Times New Roman"/>
          <w:sz w:val="18"/>
          <w:szCs w:val="18"/>
          <w:u w:val="single" w:color="auto"/>
          <w:color w:val="auto"/>
        </w:rPr>
        <w:t>Schedule 3.1(dd)</w:t>
      </w:r>
      <w:r>
        <w:rPr>
          <w:rFonts w:ascii="Times New Roman" w:cs="Times New Roman" w:eastAsia="Times New Roman" w:hAnsi="Times New Roman"/>
          <w:sz w:val="18"/>
          <w:szCs w:val="18"/>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March 31, 2026.</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73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3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9" w:name="page100"/>
    <w:bookmarkEnd w:id="99"/>
    <w:p>
      <w:pPr>
        <w:jc w:val="both"/>
        <w:ind w:left="-460" w:firstLine="644"/>
        <w:spacing w:after="0" w:line="253" w:lineRule="auto"/>
        <w:tabs>
          <w:tab w:leader="none" w:pos="88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3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as disclosed in the Registration Statement.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8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Equity Plans</w:t>
      </w:r>
      <w:r>
        <w:rPr>
          <w:rFonts w:ascii="Times New Roman" w:cs="Times New Roman" w:eastAsia="Times New Roman" w:hAnsi="Times New Roman"/>
          <w:sz w:val="18"/>
          <w:szCs w:val="18"/>
          <w:color w:val="auto"/>
        </w:rPr>
        <w:t>. Each share option or equity award granted by the Company under the Company’s equity award plans was granted (i) in accordance with the terms of the Company’s duly approved equity award plan(s) and (ii) with an exercise price at least equal to the fair market value of the Ordinary Shares on the date such option or equity award would be considered granted under GAAP and applicable law. No share option or equity award granted under the Company’s or equity award plan(s) has been backdated. The Company has not knowingly granted, and there is no and has been no Company policy or practice to knowingly grant, options prior to, or otherwise knowingly coordinate the grant of share options with, the release or other public announcement of material information regarding the Company or its Subsidiaries or their financial results or prospects.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1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a Purchaser’s request.</w:t>
      </w:r>
    </w:p>
    <w:p>
      <w:pPr>
        <w:spacing w:after="0" w:line="3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0" w:name="page101"/>
    <w:bookmarkEnd w:id="100"/>
    <w:p>
      <w:pPr>
        <w:jc w:val="both"/>
        <w:ind w:left="-460" w:firstLine="644"/>
        <w:spacing w:after="0" w:line="256" w:lineRule="auto"/>
        <w:tabs>
          <w:tab w:leader="none" w:pos="87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1"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a “foreign private issuer” within the meaning of Rule 405 under the Securities Act.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8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PRC Overseas Investment and Listing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Company and its Subsidiaries has complied, and has taken all reasonable steps to ensure compliance by each of its controlling shareholder that is, or is directly or indirectly owned or controlled by, a PRC resident or citizen with any applicable rules and regulations of the relevant PRC government agencies (including but not limited to the Ministry of Commerce, the National Development and Reform Commission, the China Securities Regulatory Commission (“</w:t>
      </w:r>
      <w:r>
        <w:rPr>
          <w:rFonts w:ascii="Times New Roman" w:cs="Times New Roman" w:eastAsia="Times New Roman" w:hAnsi="Times New Roman"/>
          <w:sz w:val="18"/>
          <w:szCs w:val="18"/>
          <w:u w:val="single" w:color="auto"/>
          <w:color w:val="auto"/>
        </w:rPr>
        <w:t>CSRC</w:t>
      </w:r>
      <w:r>
        <w:rPr>
          <w:rFonts w:ascii="Times New Roman" w:cs="Times New Roman" w:eastAsia="Times New Roman" w:hAnsi="Times New Roman"/>
          <w:sz w:val="18"/>
          <w:szCs w:val="18"/>
          <w:color w:val="auto"/>
        </w:rPr>
        <w:t>”) and the State Administration of Foreign Exchange (the “</w:t>
      </w:r>
      <w:r>
        <w:rPr>
          <w:rFonts w:ascii="Times New Roman" w:cs="Times New Roman" w:eastAsia="Times New Roman" w:hAnsi="Times New Roman"/>
          <w:sz w:val="18"/>
          <w:szCs w:val="18"/>
          <w:u w:val="single" w:color="auto"/>
          <w:color w:val="auto"/>
        </w:rPr>
        <w:t>SAFE</w:t>
      </w:r>
      <w:r>
        <w:rPr>
          <w:rFonts w:ascii="Times New Roman" w:cs="Times New Roman" w:eastAsia="Times New Roman" w:hAnsi="Times New Roman"/>
          <w:sz w:val="18"/>
          <w:szCs w:val="18"/>
          <w:color w:val="auto"/>
        </w:rPr>
        <w:t>”)) relating to overseas investment by PRC residents and citizens (the “</w:t>
      </w:r>
      <w:r>
        <w:rPr>
          <w:rFonts w:ascii="Times New Roman" w:cs="Times New Roman" w:eastAsia="Times New Roman" w:hAnsi="Times New Roman"/>
          <w:sz w:val="18"/>
          <w:szCs w:val="18"/>
          <w:u w:val="single" w:color="auto"/>
          <w:color w:val="auto"/>
        </w:rPr>
        <w:t>PRC Overseas Investment and Listing Regulations</w:t>
      </w:r>
      <w:r>
        <w:rPr>
          <w:rFonts w:ascii="Times New Roman" w:cs="Times New Roman" w:eastAsia="Times New Roman" w:hAnsi="Times New Roman"/>
          <w:sz w:val="18"/>
          <w:szCs w:val="18"/>
          <w:color w:val="auto"/>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spacing w:after="0" w:line="186"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1" w:name="page102"/>
    <w:bookmarkEnd w:id="10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380" w:firstLine="924"/>
        <w:spacing w:after="0" w:line="253" w:lineRule="auto"/>
        <w:tabs>
          <w:tab w:leader="none" w:pos="19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380" w:firstLine="924"/>
        <w:spacing w:after="0" w:line="261" w:lineRule="auto"/>
        <w:tabs>
          <w:tab w:leader="none" w:pos="19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179" w:lineRule="exact"/>
        <w:rPr>
          <w:rFonts w:ascii="Times New Roman" w:cs="Times New Roman" w:eastAsia="Times New Roman" w:hAnsi="Times New Roman"/>
          <w:sz w:val="18"/>
          <w:szCs w:val="18"/>
          <w:color w:val="auto"/>
        </w:rPr>
      </w:pPr>
    </w:p>
    <w:p>
      <w:pPr>
        <w:ind w:left="380" w:firstLine="924"/>
        <w:spacing w:after="0" w:line="282" w:lineRule="auto"/>
        <w:tabs>
          <w:tab w:leader="none" w:pos="19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Shares, it was, and as of the date hereof it is, an “accredited investor” as defined in Rule 501(a)(1), (a)(2), (a)(3), (a)(7) or (a)(8) under the Securities Act.</w:t>
      </w:r>
    </w:p>
    <w:p>
      <w:pPr>
        <w:spacing w:after="0" w:line="161" w:lineRule="exact"/>
        <w:rPr>
          <w:rFonts w:ascii="Times New Roman" w:cs="Times New Roman" w:eastAsia="Times New Roman" w:hAnsi="Times New Roman"/>
          <w:sz w:val="18"/>
          <w:szCs w:val="18"/>
          <w:color w:val="auto"/>
        </w:rPr>
      </w:pPr>
    </w:p>
    <w:p>
      <w:pPr>
        <w:jc w:val="both"/>
        <w:ind w:left="380" w:firstLine="924"/>
        <w:spacing w:after="0" w:line="261" w:lineRule="auto"/>
        <w:tabs>
          <w:tab w:leader="none" w:pos="17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380" w:firstLine="924"/>
        <w:spacing w:after="0" w:line="255" w:lineRule="auto"/>
        <w:tabs>
          <w:tab w:leader="none" w:pos="19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both"/>
        <w:ind w:left="380" w:firstLine="924"/>
        <w:spacing w:after="0" w:line="253" w:lineRule="auto"/>
        <w:tabs>
          <w:tab w:leader="none" w:pos="188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80" w:firstLine="924"/>
        <w:spacing w:after="0" w:line="258" w:lineRule="auto"/>
        <w:tabs>
          <w:tab w:leader="none" w:pos="19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set forth in the Prospectus, no agent, broker, investment banker, person or firm acting in a similar capacity on behalf of or under the authority of such Purchaser is or will be entitled to any broker’s or finder’s fee or any other commission or similar fee, directly or indirectly, for which the Company or any of its Affiliates after the Closing could have any liabilities in connection with this Agreement, any of the transactions contemplated by this Agreement, or on account of any action taken by such Purchaser in connection with the transactions contemplated by this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Shares, the Company covenants to use commercially reasonable efforts to timely file (or obtain extensions in respect thereof and file within the applicable grace period) all reports required to be filed by the Company after the date hereof pursuant to the Exchange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Report of Foreign Private Issuer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which was entered into solely in connection with the subject matter hereof,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to the extent such disclosure is required by law or Trading Market regulations, in which case, the Company shall provide such Purchaser with prior notice of such disclosure permitted pursuant to this sentence.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and use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Report of Foreign Private Issuer on Form 6-K. The Company understands and confirms that each Purchaser shall be relying on the foregoing covenant in effecting transactions in securities of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Ordinary Shares or Ordinary Share Equivalents, (c) for the settlement of any outstanding litigation or (d) in violation of FCPA or OFAC regulations.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documented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(including a Purchaser Party’s status as an investor), or any of them or their respective Affiliates, by the Company or any shareholder of the Company who is not an Affiliate of such Purchaser Party, arising out of or relating to any of the transactions contemplated by the Transaction Documents. For the avoidance of doubt, the indemnification provided herein is intended to, and shall also cover, direct claims brought by the Company against the Purchaser Parties; provided, however, that such indemnification shall not cover (i) any loss, claim, damage or liability to the extent it is finally judicially determined to be attributable to any Purchaser Party’s breach of any of the representations, warranties, covenants or agreements made by such Purchaser Party in any Transaction Document, or (ii) any conduct by a Purchaser Party which is finally judicially determined to constitute fraud, bad faith,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reasonable and documented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Section 4.8 shall be made by periodic payments of the amount thereof during the course of the investigation, defense, collection, enforcement or action, as and when bills are received or are incurred; provided, that if any Purchaser Party is finally judicially determined not to be entitled to indemnification or payment under this Section 4.8,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spacing w:after="0" w:line="20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Ordinary Shares</w:t>
      </w:r>
      <w:r>
        <w:rPr>
          <w:rFonts w:ascii="Times New Roman" w:cs="Times New Roman" w:eastAsia="Times New Roman" w:hAnsi="Times New Roman"/>
          <w:sz w:val="18"/>
          <w:szCs w:val="18"/>
          <w:color w:val="auto"/>
        </w:rPr>
        <w:t>. The Company hereby agrees to use commercially reasonable efforts to maintain the listing or quotation of the Ordinary Shares on the Trading Market on which they are currently listed, and prior to the Closing, the Company shall apply to list or quote all of the Shares on such Trading Market and promptly secure the listing of all of the Shares on such Trading Market. The Company further agrees, if the Company applies to have the Ordinary Shares traded on any other Trading Market, it will then include in such application all of the Shares, and will take such other action as is reasonably necessary to cause all of the Shares to be listed or quoted on such other Trading Market as promptly as possible. The Company will then take all action reasonably necessary to continue the listing and trading of its Ordinary Shares on a Trading Market and will comply in all material respects with the Company’s reporting, filing and other obligations under the bylaws or rules of the Trading Market. The Company agrees to use commercially reasonable efforts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66" w:lineRule="auto"/>
        <w:tabs>
          <w:tab w:leader="none" w:pos="19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 days after the Closing Date, neither the Company nor any Subsidiary shall (i) issue, enter into any agreement to issue or announce the issuance or proposed issuance of any Ordinary Shares or Ordinary Share Equivalents (each, a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or (ii) file any registration statement or any amendment or supplement thereto, other than the Prospectus.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0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 the Company shall be prohibited from effecting or entering into an agreement to effect any issuance by the Company or any of its Subsidiaries of Ordinary Shares or Ordinary Share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Ordinary Shares either (A) at a conversion price, exercise price or exchange rate or other price that is based upon and/or varies with the trading prices of or quotations for the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Ordinary Shares or (ii) enters into, or effects a transaction under, any agreement, including, but not limited to, an equity line of credit, whereby the Company may issue securities at a future determined price. Any Purchaser shall be entitled to obtain injunctive relief against the Company to preclude any such issuance, which remedy shall be in addition to any right to collect damages.</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9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200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 upon any issuance by the Company or any of its Subsidiaries of Ordinary Shares or Ordinary Shares Equivalents for cash consideration, Indebtedness or a combination of units thereof (a “</w:t>
      </w:r>
      <w:r>
        <w:rPr>
          <w:rFonts w:ascii="Times New Roman" w:cs="Times New Roman" w:eastAsia="Times New Roman" w:hAnsi="Times New Roman"/>
          <w:sz w:val="18"/>
          <w:szCs w:val="18"/>
          <w:u w:val="single" w:color="auto"/>
          <w:color w:val="auto"/>
        </w:rPr>
        <w:t>Subsequent Financing</w:t>
      </w:r>
      <w:r>
        <w:rPr>
          <w:rFonts w:ascii="Times New Roman" w:cs="Times New Roman" w:eastAsia="Times New Roman" w:hAnsi="Times New Roman"/>
          <w:sz w:val="18"/>
          <w:szCs w:val="18"/>
          <w:color w:val="auto"/>
        </w:rPr>
        <w:t>”), each Purchaser shall have the right to participate in up to an amount of the Subsequent Financing equal to [•]% of the Subsequent Financing (the “</w:t>
      </w:r>
      <w:r>
        <w:rPr>
          <w:rFonts w:ascii="Times New Roman" w:cs="Times New Roman" w:eastAsia="Times New Roman" w:hAnsi="Times New Roman"/>
          <w:sz w:val="18"/>
          <w:szCs w:val="18"/>
          <w:u w:val="single" w:color="auto"/>
          <w:color w:val="auto"/>
        </w:rPr>
        <w:t>Participation Maximum</w:t>
      </w:r>
      <w:r>
        <w:rPr>
          <w:rFonts w:ascii="Times New Roman" w:cs="Times New Roman" w:eastAsia="Times New Roman" w:hAnsi="Times New Roman"/>
          <w:sz w:val="18"/>
          <w:szCs w:val="18"/>
          <w:color w:val="auto"/>
        </w:rPr>
        <w:t>”) on the same terms, conditions and price provided for in the Subsequent Financing.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both"/>
        <w:ind w:left="-460" w:firstLine="644"/>
        <w:spacing w:after="0" w:line="254" w:lineRule="auto"/>
        <w:tabs>
          <w:tab w:leader="none" w:pos="8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time period of 4:00 pm (New York City time) and 6:00 pm (New York City time) on the Trading Day immediately prior to the Trading Day of the expected announcement of the Subsequent Financing (or, if the Trading Day of the expected announcement of the Subsequent Financing is the first Trading Day following a holiday or a weekend (including a holiday weekend), between the time period of 4:00 pm (New York City time) on the Trading Day immediately prior to such holiday or weekend and 2:00 pm (New York City time) on the day immediately prior to the Trading Day of the expected announcement of the Subsequent Financing), the Company shall deliver to each Purchaser a written notice of the Company’s intention to effect a Subsequent Financing (a “</w:t>
      </w:r>
      <w:r>
        <w:rPr>
          <w:rFonts w:ascii="Times New Roman" w:cs="Times New Roman" w:eastAsia="Times New Roman" w:hAnsi="Times New Roman"/>
          <w:sz w:val="18"/>
          <w:szCs w:val="18"/>
          <w:u w:val="single" w:color="auto"/>
          <w:color w:val="auto"/>
        </w:rPr>
        <w:t>Subsequent Financing Notice</w:t>
      </w:r>
      <w:r>
        <w:rPr>
          <w:rFonts w:ascii="Times New Roman" w:cs="Times New Roman" w:eastAsia="Times New Roman" w:hAnsi="Times New Roman"/>
          <w:sz w:val="18"/>
          <w:szCs w:val="18"/>
          <w:color w:val="auto"/>
        </w:rPr>
        <w:t>”), which notice shall describe in reasonable detail the proposed terms of such Subsequent Financing, the amount of proceeds intended to be raised thereunder and the Person or Persons through or with whom such Subsequent Financing is proposed to be effected and shall include a term sheet and transaction documents relating thereto as an attachment.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7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Purchaser desiring to participate in such Subsequent Financing must provide written notice to the Company by 6:30 am (New York City time) on the Trading Day following the date on which the Subsequent Financing Notice is delivered to such Purchaser (the “</w:t>
      </w:r>
      <w:r>
        <w:rPr>
          <w:rFonts w:ascii="Times New Roman" w:cs="Times New Roman" w:eastAsia="Times New Roman" w:hAnsi="Times New Roman"/>
          <w:sz w:val="18"/>
          <w:szCs w:val="18"/>
          <w:u w:val="single" w:color="auto"/>
          <w:color w:val="auto"/>
        </w:rPr>
        <w:t>Notice Termination Time</w:t>
      </w:r>
      <w:r>
        <w:rPr>
          <w:rFonts w:ascii="Times New Roman" w:cs="Times New Roman" w:eastAsia="Times New Roman" w:hAnsi="Times New Roman"/>
          <w:sz w:val="18"/>
          <w:szCs w:val="18"/>
          <w:color w:val="auto"/>
        </w:rPr>
        <w:t>”) that such Purchaser is willing to participate in the Subsequent Financing, the amount of such Purchaser’s participation, and representing and warranting that such Purchaser has such funds ready, willing, and available for investment on the terms set forth in the Subsequent Financing Notice. If the Company receives no such notice from a Purchaser as of such Notice Termination Time, such Purchaser shall be deemed to have notified the Company that it does not elect to participate in such Subsequent Financing.</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89" w:lineRule="auto"/>
        <w:tabs>
          <w:tab w:leader="none" w:pos="76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the Notice Termination Time, notifications by the Purchasers of their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spacing w:after="0" w:line="157" w:lineRule="exact"/>
        <w:rPr>
          <w:rFonts w:ascii="Times New Roman" w:cs="Times New Roman" w:eastAsia="Times New Roman" w:hAnsi="Times New Roman"/>
          <w:sz w:val="17"/>
          <w:szCs w:val="17"/>
          <w:color w:val="auto"/>
        </w:rPr>
      </w:pPr>
    </w:p>
    <w:p>
      <w:pPr>
        <w:jc w:val="both"/>
        <w:ind w:left="-460" w:firstLine="644"/>
        <w:spacing w:after="0" w:line="258"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Notice Termination Time,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“Pro Rata Portion” means the ratio of (x) the Subscription Amount of Shares purchased on the Closing Date by a Purchaser participating under this Section 4.12 and (y) the sum of the aggregate Subscription Amounts of Shares purchased on the Closing Date by all Purchasers participating under this Section 4.12.</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provide the Purchasers with a second Subsequent Financing Notice, and the Purchasers will again have the right of participation set forth above in this Section 4.12, if the definitive agreement related to the initial Subsequent Financing Notice is not entered into for any reason on the terms set forth in such Subsequent Financing Notice within two (2) Trading Days after the date of delivery of the initial Subsequent Financing Notice.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6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Purchaser agree that, if any Purchaser elects to participate in the Subsequent Financing, the transaction documents related to the Subsequent Financing shall not include any term or provision that, directly or indirectly, will, or is intended to, exclude one or more of the Purchasers from participating in a Subsequent Financing, including, but not limited to, provisions whereby such Purchaser shall be required to agree to any restrictions on trading as to any of the Shares purchased hereunder or be required to consent to any amendment to or termination of, or grant any waiver, release or the like under or in connection with, this Agreement, without the prior written consent of such Purchaser. In addition, the Company and each Purchaser agree that, in connection with a Subsequent Financing, the transaction documents related to the Subsequent Financing shall include a requirement for the Company to issue a widely disseminated press release by 9:30 am (New York City time) on the Trading Day of execution of the transaction documents in such Subsequent Financing (or, if the date of execution is not a Trading Day, on the immediately following Trading Day) that discloses the material terms of the transactions contemplated by the transaction documents in such Subsequent Financing.</w:t>
      </w:r>
    </w:p>
    <w:p>
      <w:pPr>
        <w:spacing w:after="0" w:line="36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7" w:name="page108"/>
    <w:bookmarkEnd w:id="107"/>
    <w:p>
      <w:pPr>
        <w:jc w:val="both"/>
        <w:ind w:left="660" w:firstLine="644"/>
        <w:spacing w:after="0" w:line="253" w:lineRule="auto"/>
        <w:tabs>
          <w:tab w:leader="none" w:pos="19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4.12 and unless otherwise agreed to by such Purchaser, the Company shall either confirm in writing to such Purchaser that the transaction with respect to the Subsequent Financing has been abandoned or shall publicly disclose its intention to issue the securities in the Subsequent Financing, in either case in such a manner such that such Purchaser will not be in possession of any material, non-public information, by 9:30 am (New York City time) on the second (2nd) Trading Day following date of delivery of the Subsequent Financing Notice. If by 9:30 am (New York City time) on such second (2nd) Trading Day, no public disclosure regarding a transaction with respect to the Subsequent Financing has been made, and no notice regarding the abandonment of such transaction has been received by such Purchaser, such transaction shall be deemed to have been abandoned and such Purchaser shall not be deemed to be in possession of any material, non-public information with respect to the Company or any of its Subsidiaries. Should the Company decide to pursue such transaction with respect to the Offered Shares, the Company shall provide such Purchaser with another Subsequent Financing Notice and such Purchaser will again have the right of participation set forth in this Section 4.12. The Company shall not be permitted to deliver more than one such Subsequent Financing Notice to such Purchaser in any sixty (60) day period, except with respect to an amendment or modification of terms and conditions of a Subsequent Financing, which shall be delivered to each Purchaser as a new Subsequent Financing Notice with new time periods commencing in accordance herewith as of the time of delivery of such new Subsequent Financing Notice in accordance herewith.</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Section 4.12 shall not apply in connection with an Exempt Issuance.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Shares may result in dilution of the outstanding Ordinary Shares, which dilution may be substantial under certain market conditions. The Company further acknowledges that its obligations under the Transaction Documents, including, without limitation, its obligation to issue the Shares pursuant to the Transaction Documents, are not subject to any right of set off, counterclaim, delay or reduction, regardless of the effect of any such dilution or any claim the Company may have against any Purchaser and regardless of the dilutive effect that such issuance may have on the ownership of the other shareholders of the Company.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No Waiver of Lockup Agreement</w:t>
      </w:r>
      <w:r>
        <w:rPr>
          <w:rFonts w:ascii="Times New Roman" w:cs="Times New Roman" w:eastAsia="Times New Roman" w:hAnsi="Times New Roman"/>
          <w:sz w:val="18"/>
          <w:szCs w:val="18"/>
          <w:color w:val="auto"/>
        </w:rPr>
        <w:t>. The Company shall not amend, waive, modify or fail to use commercially reasonable efforts to enforce any provision of the Lockup Agreement. For the avoidance of doubt, no Purchaser shall be a third party beneficiary of any Lockup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 This Agreement may be terminated by the Company by written notice to the other parties, if the Closing has not been consummated on or before the fifth (5th) Trading Day following the date hereof.</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 In addition to the transaction expenses, the Company shall be responsible for the payment of any financial advisory fees, transfer agent fees, DTC fees or broker’s commissions (other than for any Persons engaged by any Purchaser) relating to or arising out of the transactions contemplated hereby (including, without limitation, any fees required for same-day processing of any instruction letter delivered by the Company and any exercise notice delivered by a Purchaser), and any stamp taxes and other taxes and duties levied in connection with the delivery of any Shares to the Purchasers. The Company shall pay, and hold each Purchaser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Shares to the Purchasers.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Preliminary Prospectus and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6-K.</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 if on or prior to the Closing Date, 100% or (b) if after the Closing Date, at least 50.1%, as applicable,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4.8.</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and documented attorneys’ fees and other costs and expenses incurred with the investigation, preparation and prosecution of such Action or Proceeding. The Company irrevocably appoints Cogency Global Inc. as its respective authorized agent (the “</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in the Borough of Manhattan in The City of New York upon which process may be served in any such suit or proceeding, and agree that service of process in any manner permitted by applicable law upon such agent shall be deemed in every respect effective service of process in any manner permitted by applicable law upon the Company, as the case may be, in any such suit or proceeding. The choice of laws of the State of New York as the governing law of this Agreement will be honored by competent courts in the People’s Republic of China and the British Virgin Islands, subject to compliance with relevant People’s Republic of China and British Virgin Islands civil procedural and other requirements. None of the Company nor any of its properties, assets or revenues has any right of immunity under the People’s Republic of China, British Virgin Islands or New York law, from any legal action, suit or proceeding, from the giving of any relief in any such legal action, suit or proceeding, from set-off or counterclaim, from the jurisdiction of the People’s Republic of China, British Virgin Islands, New York or United States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and, to the extent that the Company, or any of its properties, assets or revenues may have or may hereafter become entitled to any such right of immunity in any such court in which proceedings may at any time be commenced, the Company hereby waives such right to the extent permitted by law and hereby consents to such relief and enforcement as provided in this Agreement and the other Transaction Documents.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Shares for a period of two years from Closing.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or other electronic medium recognized as an electronic signature under applicable law, such signature shall create a valid and binding obligation of the party executing (or on whose behalf such signature is executed) with the same force and effect as if such facsimile, “.pdf” signature page or other electronic signature were an original thereof.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Shares</w:t>
      </w:r>
      <w:r>
        <w:rPr>
          <w:rFonts w:ascii="Times New Roman" w:cs="Times New Roman" w:eastAsia="Times New Roman" w:hAnsi="Times New Roman"/>
          <w:sz w:val="18"/>
          <w:szCs w:val="18"/>
          <w:color w:val="auto"/>
        </w:rPr>
        <w:t>. If any certificate or instrument evidencing any Shares are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share splits, share dividends, share combinations and other similar transactions of the Ordinary Shares that occur after the date of this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Sales During Pre-Settlement Period</w:t>
      </w:r>
      <w:r>
        <w:rPr>
          <w:rFonts w:ascii="Times New Roman" w:cs="Times New Roman" w:eastAsia="Times New Roman" w:hAnsi="Times New Roman"/>
          <w:sz w:val="18"/>
          <w:szCs w:val="18"/>
          <w:color w:val="auto"/>
        </w:rPr>
        <w:t>.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such Purchaser sells to any Person all, or any portion, of any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to any Person and that any such decision to sell any Shares by such Purchaser shall be made, in the sole discretion of such Purchaser, at the time such Purchaser elects to effect any such sale, if any.</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Waton Financial Limited</w:t>
            </w:r>
          </w:p>
        </w:tc>
        <w:tc>
          <w:tcPr>
            <w:tcW w:w="11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Suites 3605/06, 36F, Tower 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Gateway, Harbour City,</w:t>
            </w: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0" w:type="dxa"/>
            <w:vAlign w:val="bottom"/>
          </w:tcPr>
          <w:p>
            <w:pPr>
              <w:spacing w:after="0"/>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56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Warren WEN</w:t>
            </w:r>
          </w:p>
        </w:tc>
        <w:tc>
          <w:tcPr>
            <w:tcW w:w="1120" w:type="dxa"/>
            <w:vAlign w:val="bottom"/>
          </w:tcPr>
          <w:p>
            <w:pPr>
              <w:spacing w:after="0"/>
              <w:rPr>
                <w:sz w:val="17"/>
                <w:szCs w:val="17"/>
                <w:color w:val="auto"/>
              </w:rPr>
            </w:pPr>
          </w:p>
        </w:tc>
        <w:tc>
          <w:tcPr>
            <w:tcW w:w="2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E-Mail: info@waton.com</w:t>
            </w:r>
          </w:p>
        </w:tc>
        <w:tc>
          <w:tcPr>
            <w:tcW w:w="0" w:type="dxa"/>
            <w:vAlign w:val="bottom"/>
          </w:tcPr>
          <w:p>
            <w:pPr>
              <w:spacing w:after="0"/>
              <w:rPr>
                <w:sz w:val="1"/>
                <w:szCs w:val="1"/>
                <w:color w:val="auto"/>
              </w:rPr>
            </w:pPr>
          </w:p>
        </w:tc>
      </w:tr>
      <w:tr>
        <w:trPr>
          <w:trHeight w:val="234"/>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CFO</w:t>
            </w: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Hunter Taubman Fischer &amp; Li LLC</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950 Third Avenue, 19th Floor</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Ying Li, Esq.</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yli@htflawyers.com</w:t>
            </w: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ind w:right="80"/>
        <w:spacing w:after="0"/>
        <w:rPr>
          <w:sz w:val="20"/>
          <w:szCs w:val="20"/>
          <w:color w:val="auto"/>
        </w:rPr>
      </w:pPr>
      <w:r>
        <w:rPr>
          <w:rFonts w:ascii="Times New Roman" w:cs="Times New Roman" w:eastAsia="Times New Roman" w:hAnsi="Times New Roman"/>
          <w:sz w:val="18"/>
          <w:szCs w:val="18"/>
          <w:color w:val="auto"/>
        </w:rPr>
        <w:t>[PURCHASER SIGNATURE PAGES TO</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PURCHASE AGREEMENT]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26035</wp:posOffset>
            </wp:positionV>
            <wp:extent cx="48348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483489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27305</wp:posOffset>
            </wp:positionV>
            <wp:extent cx="34975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26035</wp:posOffset>
            </wp:positionV>
            <wp:extent cx="432054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432054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26035</wp:posOffset>
            </wp:positionV>
            <wp:extent cx="437197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437197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26035</wp:posOffset>
            </wp:positionV>
            <wp:extent cx="39090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39090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26035</wp:posOffset>
            </wp:positionV>
            <wp:extent cx="1671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16713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17830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26035</wp:posOffset>
            </wp:positionV>
            <wp:extent cx="16973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16973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requesting delivery by Deposit/Withdrawal at Custodian, provide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26035</wp:posOffset>
            </wp:positionV>
            <wp:extent cx="165417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165417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26035</wp:posOffset>
            </wp:positionV>
            <wp:extent cx="1688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168846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26035</wp:posOffset>
            </wp:positionV>
            <wp:extent cx="16459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246" w:lineRule="exact"/>
        <w:rPr>
          <w:sz w:val="20"/>
          <w:szCs w:val="20"/>
          <w:color w:val="auto"/>
        </w:rPr>
      </w:pPr>
    </w:p>
    <w:p>
      <w:pPr>
        <w:jc w:val="both"/>
        <w:ind w:firstLine="8"/>
        <w:spacing w:after="0" w:line="233" w:lineRule="auto"/>
        <w:tabs>
          <w:tab w:leader="none" w:pos="290" w:val="left"/>
        </w:tabs>
        <w:numPr>
          <w:ilvl w:val="0"/>
          <w:numId w:val="7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3720" w:type="dxa"/>
            <w:vAlign w:val="bottom"/>
          </w:tcPr>
          <w:p>
            <w:pPr>
              <w:spacing w:after="0"/>
              <w:rPr>
                <w:sz w:val="24"/>
                <w:szCs w:val="24"/>
                <w:color w:val="auto"/>
              </w:rPr>
            </w:pPr>
          </w:p>
        </w:tc>
        <w:tc>
          <w:tcPr>
            <w:tcW w:w="754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655"/>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198"/>
        </w:trPr>
        <w:tc>
          <w:tcPr>
            <w:tcW w:w="37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Waton Securities International Limited</w:t>
            </w:r>
          </w:p>
        </w:tc>
        <w:tc>
          <w:tcPr>
            <w:tcW w:w="4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7"/>
                <w:szCs w:val="17"/>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Waton Technology International Limited</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Waton Sponsor Limited</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Descart Limited</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Waton Investment Global SPC</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Infast Asset Management Co., Limited</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Love &amp; Health Limited</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WTF Technology (Hangzhou) Co. Ltd.</w:t>
            </w: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PRC</w:t>
            </w:r>
          </w:p>
        </w:tc>
      </w:tr>
      <w:tr>
        <w:trPr>
          <w:trHeight w:val="304"/>
        </w:trPr>
        <w:tc>
          <w:tcPr>
            <w:tcW w:w="37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266"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Post-Effective Amendment No. 1 to Form F-1 of our report dated July 24, 2025, with respect to the consolidated financial statements of Waton Financial Limited (the “Company”) appearing in the Annual Report on Form 20-F of the Company for the year ended March 31, 2025. Our report contained a paragraph of “Emphasis of Matter” relating to the Company’s significant transactions with its related parties.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7" w:name="page118"/>
    <w:bookmarkEnd w:id="117"/>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u w:val="single" w:color="auto"/>
          <w:color w:val="auto"/>
        </w:rPr>
        <w:t>F-1</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Waton Financial Limited</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140" w:type="dxa"/>
            <w:vAlign w:val="bottom"/>
            <w:tcBorders>
              <w:top w:val="single" w:sz="8" w:color="auto"/>
              <w:left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220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18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14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2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0"/>
        </w:trPr>
        <w:tc>
          <w:tcPr>
            <w:tcW w:w="1140" w:type="dxa"/>
            <w:vAlign w:val="bottom"/>
            <w:tcBorders>
              <w:left w:val="single" w:sz="8" w:color="auto"/>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 Title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18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218"/>
        </w:trPr>
        <w:tc>
          <w:tcPr>
            <w:tcW w:w="1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1100" w:type="dxa"/>
            <w:vAlign w:val="bottom"/>
            <w:tcBorders>
              <w:right w:val="single" w:sz="8" w:color="auto"/>
            </w:tcBorders>
            <w:shd w:val="clear" w:color="auto" w:fill="CCEEFF"/>
          </w:tcPr>
          <w:p>
            <w:pPr>
              <w:spacing w:after="0"/>
              <w:rPr>
                <w:sz w:val="18"/>
                <w:szCs w:val="18"/>
                <w:color w:val="auto"/>
              </w:rPr>
            </w:pPr>
          </w:p>
        </w:tc>
        <w:tc>
          <w:tcPr>
            <w:tcW w:w="22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140" w:type="dxa"/>
            <w:vAlign w:val="bottom"/>
            <w:tcBorders>
              <w:left w:val="single" w:sz="8" w:color="auto"/>
              <w:right w:val="single" w:sz="8" w:color="auto"/>
            </w:tcBorders>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Previously</w:t>
            </w:r>
          </w:p>
        </w:tc>
        <w:tc>
          <w:tcPr>
            <w:tcW w:w="1100" w:type="dxa"/>
            <w:vAlign w:val="bottom"/>
            <w:tcBorders>
              <w:right w:val="single" w:sz="8" w:color="auto"/>
            </w:tcBorders>
            <w:shd w:val="clear" w:color="auto" w:fill="CCEEFF"/>
          </w:tcPr>
          <w:p>
            <w:pPr>
              <w:spacing w:after="0"/>
              <w:rPr>
                <w:sz w:val="15"/>
                <w:szCs w:val="15"/>
                <w:color w:val="auto"/>
              </w:rPr>
            </w:pPr>
          </w:p>
        </w:tc>
        <w:tc>
          <w:tcPr>
            <w:tcW w:w="2200" w:type="dxa"/>
            <w:vAlign w:val="bottom"/>
            <w:tcBorders>
              <w:right w:val="single" w:sz="8" w:color="auto"/>
            </w:tcBorders>
            <w:vMerge w:val="continue"/>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1180" w:type="dxa"/>
            <w:vAlign w:val="bottom"/>
            <w:tcBorders>
              <w:right w:val="single" w:sz="8" w:color="auto"/>
            </w:tcBorders>
            <w:shd w:val="clear" w:color="auto" w:fill="CCEEFF"/>
          </w:tcPr>
          <w:p>
            <w:pPr>
              <w:spacing w:after="0"/>
              <w:rPr>
                <w:sz w:val="15"/>
                <w:szCs w:val="15"/>
                <w:color w:val="auto"/>
              </w:rPr>
            </w:pPr>
          </w:p>
        </w:tc>
        <w:tc>
          <w:tcPr>
            <w:tcW w:w="112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1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Paid</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200" w:type="dxa"/>
            <w:vAlign w:val="bottom"/>
            <w:tcBorders>
              <w:bottom w:val="single" w:sz="8" w:color="auto"/>
              <w:right w:val="single" w:sz="8" w:color="auto"/>
            </w:tcBorders>
            <w:shd w:val="clear" w:color="auto" w:fill="CCEEFF"/>
          </w:tcPr>
          <w:p>
            <w:pPr>
              <w:jc w:val="center"/>
              <w:spacing w:after="0" w:line="296" w:lineRule="exact"/>
              <w:rPr>
                <w:sz w:val="20"/>
                <w:szCs w:val="20"/>
                <w:color w:val="auto"/>
              </w:rPr>
            </w:pPr>
            <w:r>
              <w:rPr>
                <w:rFonts w:ascii="Times New Roman" w:cs="Times New Roman" w:eastAsia="Times New Roman" w:hAnsi="Times New Roman"/>
                <w:sz w:val="18"/>
                <w:szCs w:val="18"/>
                <w:color w:val="auto"/>
                <w:w w:val="95"/>
              </w:rPr>
              <w:t>per share</w:t>
            </w:r>
            <w:r>
              <w:rPr>
                <w:rFonts w:ascii="Times New Roman" w:cs="Times New Roman" w:eastAsia="Times New Roman" w:hAnsi="Times New Roman"/>
                <w:sz w:val="29"/>
                <w:szCs w:val="29"/>
                <w:color w:val="auto"/>
                <w:w w:val="95"/>
                <w:vertAlign w:val="superscript"/>
              </w:rPr>
              <w:t>(2)</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$30,443,203.90</w:t>
            </w:r>
          </w:p>
        </w:tc>
        <w:tc>
          <w:tcPr>
            <w:tcW w:w="112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0.00013810</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$4,204.30</w:t>
            </w:r>
          </w:p>
        </w:tc>
        <w:tc>
          <w:tcPr>
            <w:tcW w:w="0" w:type="dxa"/>
            <w:vAlign w:val="bottom"/>
          </w:tcPr>
          <w:p>
            <w:pPr>
              <w:spacing w:after="0"/>
              <w:rPr>
                <w:sz w:val="1"/>
                <w:szCs w:val="1"/>
                <w:color w:val="auto"/>
              </w:rPr>
            </w:pPr>
          </w:p>
        </w:tc>
      </w:tr>
      <w:tr>
        <w:trPr>
          <w:trHeight w:val="257"/>
        </w:trPr>
        <w:tc>
          <w:tcPr>
            <w:tcW w:w="1140" w:type="dxa"/>
            <w:vAlign w:val="bottom"/>
            <w:tcBorders>
              <w:left w:val="single" w:sz="8" w:color="auto"/>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2240" w:type="dxa"/>
            <w:vAlign w:val="bottom"/>
            <w:tcBorders>
              <w:bottom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12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$30,443,203.90</w:t>
            </w:r>
          </w:p>
        </w:tc>
        <w:tc>
          <w:tcPr>
            <w:tcW w:w="112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$4,204.30</w:t>
            </w:r>
          </w:p>
        </w:tc>
        <w:tc>
          <w:tcPr>
            <w:tcW w:w="0" w:type="dxa"/>
            <w:vAlign w:val="bottom"/>
          </w:tcPr>
          <w:p>
            <w:pPr>
              <w:spacing w:after="0"/>
              <w:rPr>
                <w:sz w:val="1"/>
                <w:szCs w:val="1"/>
                <w:color w:val="auto"/>
              </w:rPr>
            </w:pPr>
          </w:p>
        </w:tc>
      </w:tr>
      <w:tr>
        <w:trPr>
          <w:trHeight w:val="275"/>
        </w:trPr>
        <w:tc>
          <w:tcPr>
            <w:tcW w:w="114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1100" w:type="dxa"/>
            <w:vAlign w:val="bottom"/>
            <w:tcBorders>
              <w:bottom w:val="single" w:sz="8" w:color="CCEEFF"/>
              <w:right w:val="single" w:sz="8" w:color="CCEEFF"/>
            </w:tcBorders>
            <w:shd w:val="clear" w:color="auto" w:fill="CCEEFF"/>
          </w:tcPr>
          <w:p>
            <w:pPr>
              <w:spacing w:after="0"/>
              <w:rPr>
                <w:sz w:val="23"/>
                <w:szCs w:val="23"/>
                <w:color w:val="auto"/>
              </w:rPr>
            </w:pPr>
          </w:p>
        </w:tc>
        <w:tc>
          <w:tcPr>
            <w:tcW w:w="2200" w:type="dxa"/>
            <w:vAlign w:val="bottom"/>
            <w:tcBorders>
              <w:bottom w:val="single" w:sz="8" w:color="CCEEFF"/>
              <w:right w:val="single" w:sz="8" w:color="CCEEFF"/>
            </w:tcBorders>
            <w:shd w:val="clear" w:color="auto" w:fill="CCEEFF"/>
          </w:tcPr>
          <w:p>
            <w:pPr>
              <w:spacing w:after="0"/>
              <w:rPr>
                <w:sz w:val="23"/>
                <w:szCs w:val="23"/>
                <w:color w:val="auto"/>
              </w:rPr>
            </w:pPr>
          </w:p>
        </w:tc>
        <w:tc>
          <w:tcPr>
            <w:tcW w:w="224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120" w:type="dxa"/>
            <w:vAlign w:val="bottom"/>
            <w:tcBorders>
              <w:bottom w:val="single" w:sz="8" w:color="CCEEFF"/>
              <w:right w:val="single" w:sz="8" w:color="auto"/>
            </w:tcBorders>
            <w:shd w:val="clear" w:color="auto" w:fill="CCEEFF"/>
          </w:tcPr>
          <w:p>
            <w:pPr>
              <w:spacing w:after="0"/>
              <w:rPr>
                <w:sz w:val="23"/>
                <w:szCs w:val="23"/>
                <w:color w:val="auto"/>
              </w:rPr>
            </w:pPr>
          </w:p>
        </w:tc>
        <w:tc>
          <w:tcPr>
            <w:tcW w:w="118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$4,204.30</w:t>
            </w:r>
          </w:p>
        </w:tc>
        <w:tc>
          <w:tcPr>
            <w:tcW w:w="0" w:type="dxa"/>
            <w:vAlign w:val="bottom"/>
          </w:tcPr>
          <w:p>
            <w:pPr>
              <w:spacing w:after="0"/>
              <w:rPr>
                <w:sz w:val="1"/>
                <w:szCs w:val="1"/>
                <w:color w:val="auto"/>
              </w:rPr>
            </w:pPr>
          </w:p>
        </w:tc>
      </w:tr>
      <w:tr>
        <w:trPr>
          <w:trHeight w:val="257"/>
        </w:trPr>
        <w:tc>
          <w:tcPr>
            <w:tcW w:w="11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spacing w:after="0"/>
              <w:rPr>
                <w:sz w:val="22"/>
                <w:szCs w:val="22"/>
                <w:color w:val="auto"/>
              </w:rPr>
            </w:pPr>
          </w:p>
        </w:tc>
        <w:tc>
          <w:tcPr>
            <w:tcW w:w="220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120" w:type="dxa"/>
            <w:vAlign w:val="bottom"/>
            <w:tcBorders>
              <w:top w:val="single" w:sz="8" w:color="auto"/>
              <w:bottom w:val="single" w:sz="8" w:color="auto"/>
              <w:right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spacing w:after="0"/>
              <w:rPr>
                <w:sz w:val="22"/>
                <w:szCs w:val="22"/>
                <w:color w:val="auto"/>
              </w:rPr>
            </w:pPr>
          </w:p>
        </w:tc>
        <w:tc>
          <w:tcPr>
            <w:tcW w:w="1120" w:type="dxa"/>
            <w:vAlign w:val="bottom"/>
            <w:tcBorders>
              <w:top w:val="single" w:sz="8" w:color="auto"/>
              <w:bottom w:val="single" w:sz="8" w:color="auto"/>
              <w:right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63"/>
        </w:trPr>
        <w:tc>
          <w:tcPr>
            <w:tcW w:w="114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100" w:type="dxa"/>
            <w:vAlign w:val="bottom"/>
            <w:tcBorders>
              <w:bottom w:val="single" w:sz="8" w:color="auto"/>
              <w:right w:val="single" w:sz="8" w:color="CCEEFF"/>
            </w:tcBorders>
            <w:shd w:val="clear" w:color="auto" w:fill="CCEEFF"/>
          </w:tcPr>
          <w:p>
            <w:pPr>
              <w:spacing w:after="0"/>
              <w:rPr>
                <w:sz w:val="22"/>
                <w:szCs w:val="22"/>
                <w:color w:val="auto"/>
              </w:rPr>
            </w:pPr>
          </w:p>
        </w:tc>
        <w:tc>
          <w:tcPr>
            <w:tcW w:w="2200" w:type="dxa"/>
            <w:vAlign w:val="bottom"/>
            <w:tcBorders>
              <w:bottom w:val="single" w:sz="8" w:color="auto"/>
              <w:right w:val="single" w:sz="8" w:color="CCEEFF"/>
            </w:tcBorders>
            <w:shd w:val="clear" w:color="auto" w:fill="CCEEFF"/>
          </w:tcPr>
          <w:p>
            <w:pPr>
              <w:spacing w:after="0"/>
              <w:rPr>
                <w:sz w:val="22"/>
                <w:szCs w:val="22"/>
                <w:color w:val="auto"/>
              </w:rPr>
            </w:pPr>
          </w:p>
        </w:tc>
        <w:tc>
          <w:tcPr>
            <w:tcW w:w="1120" w:type="dxa"/>
            <w:vAlign w:val="bottom"/>
            <w:tcBorders>
              <w:bottom w:val="single" w:sz="8" w:color="auto"/>
              <w:right w:val="single" w:sz="8" w:color="CCEEFF"/>
            </w:tcBorders>
            <w:shd w:val="clear" w:color="auto" w:fill="CCEEFF"/>
          </w:tcPr>
          <w:p>
            <w:pPr>
              <w:spacing w:after="0"/>
              <w:rPr>
                <w:sz w:val="22"/>
                <w:szCs w:val="22"/>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120" w:type="dxa"/>
            <w:vAlign w:val="bottom"/>
            <w:tcBorders>
              <w:bottom w:val="single" w:sz="8" w:color="auto"/>
              <w:right w:val="single" w:sz="8" w:color="auto"/>
            </w:tcBorders>
            <w:shd w:val="clear" w:color="auto" w:fill="CCEEFF"/>
          </w:tcPr>
          <w:p>
            <w:pPr>
              <w:spacing w:after="0"/>
              <w:rPr>
                <w:sz w:val="22"/>
                <w:szCs w:val="22"/>
                <w:color w:val="auto"/>
              </w:rPr>
            </w:pPr>
          </w:p>
        </w:tc>
        <w:tc>
          <w:tcPr>
            <w:tcW w:w="1180" w:type="dxa"/>
            <w:vAlign w:val="bottom"/>
            <w:tcBorders>
              <w:bottom w:val="single" w:sz="8" w:color="auto"/>
              <w:right w:val="single" w:sz="8" w:color="auto"/>
            </w:tcBorders>
            <w:shd w:val="clear" w:color="auto" w:fill="CCEEFF"/>
          </w:tcPr>
          <w:p>
            <w:pPr>
              <w:spacing w:after="0"/>
              <w:rPr>
                <w:sz w:val="22"/>
                <w:szCs w:val="22"/>
                <w:color w:val="auto"/>
              </w:rPr>
            </w:pPr>
          </w:p>
        </w:tc>
        <w:tc>
          <w:tcPr>
            <w:tcW w:w="1120" w:type="dxa"/>
            <w:vAlign w:val="bottom"/>
            <w:tcBorders>
              <w:bottom w:val="single" w:sz="8" w:color="auto"/>
              <w:right w:val="single" w:sz="8" w:color="auto"/>
            </w:tcBorders>
            <w:shd w:val="clear" w:color="auto" w:fill="CCEEFF"/>
          </w:tcPr>
          <w:p>
            <w:pPr>
              <w:spacing w:after="0"/>
              <w:rPr>
                <w:sz w:val="22"/>
                <w:szCs w:val="22"/>
                <w:color w:val="auto"/>
              </w:rPr>
            </w:pP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20" w:right="400" w:hanging="312"/>
        <w:spacing w:after="0" w:line="282" w:lineRule="auto"/>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determining the amount of registration fee in accordance with Rule 457(o) under the Securities Act of 1933, as amended (the “Securities Act”).</w:t>
      </w:r>
    </w:p>
    <w:p>
      <w:pPr>
        <w:spacing w:after="0" w:line="40" w:lineRule="exact"/>
        <w:rPr>
          <w:rFonts w:ascii="Times New Roman" w:cs="Times New Roman" w:eastAsia="Times New Roman" w:hAnsi="Times New Roman"/>
          <w:sz w:val="18"/>
          <w:szCs w:val="18"/>
          <w:color w:val="auto"/>
        </w:rPr>
      </w:pPr>
    </w:p>
    <w:p>
      <w:pPr>
        <w:ind w:left="320" w:right="340" w:hanging="312"/>
        <w:spacing w:after="0" w:line="282" w:lineRule="auto"/>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the Registrant is also registering an indeterminate number of additional ordinary shares that shall be issuable after the date hereof as a result of share splits, share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emdash "/>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lowerLetter"/>
      <w:start w:val="3"/>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3"/>
    </w:lvl>
  </w:abstractNum>
  <w:abstractNum w:abstractNumId="20">
    <w:nsid w:val="749ABB43"/>
    <w:multiLevelType w:val="hybridMultilevel"/>
    <w:lvl w:ilvl="0">
      <w:lvlJc w:val="left"/>
      <w:lvlText w:val="(%1)"/>
      <w:numFmt w:val="lowerRoman"/>
      <w:start w:val="1"/>
    </w:lvl>
  </w:abstractNum>
  <w:abstractNum w:abstractNumId="21">
    <w:nsid w:val="3DC240FB"/>
    <w:multiLevelType w:val="hybridMultilevel"/>
    <w:lvl w:ilvl="0">
      <w:lvlJc w:val="left"/>
      <w:lvlText w:val="(%1)"/>
      <w:numFmt w:val="lowerRoman"/>
      <w:start w:val="1"/>
    </w:lvl>
  </w:abstractNum>
  <w:abstractNum w:abstractNumId="22">
    <w:nsid w:val="1BA026FA"/>
    <w:multiLevelType w:val="hybridMultilevel"/>
    <w:lvl w:ilvl="0">
      <w:lvlJc w:val="left"/>
      <w:lvlText w:val="(%1)"/>
      <w:numFmt w:val="lowerRoman"/>
      <w:start w:val="1"/>
    </w:lvl>
  </w:abstractNum>
  <w:abstractNum w:abstractNumId="23">
    <w:nsid w:val="79A1DEAA"/>
    <w:multiLevelType w:val="hybridMultilevel"/>
    <w:lvl w:ilvl="0">
      <w:lvlJc w:val="left"/>
      <w:lvlText w:val="(%1)"/>
      <w:numFmt w:val="lowerRoman"/>
      <w:start w:val="3"/>
    </w:lvl>
  </w:abstractNum>
  <w:abstractNum w:abstractNumId="24">
    <w:nsid w:val="75C6C33A"/>
    <w:multiLevelType w:val="hybridMultilevel"/>
    <w:lvl w:ilvl="0">
      <w:lvlJc w:val="left"/>
      <w:lvlText w:val="(%1)"/>
      <w:numFmt w:val="lowerRoman"/>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lvl w:ilvl="1">
      <w:lvlJc w:val="left"/>
      <w:lvlText w:val="%2."/>
      <w:numFmt w:val="lowerRoman"/>
      <w:start w:val="1"/>
    </w:lvl>
  </w:abstractNum>
  <w:abstractNum w:abstractNumId="27">
    <w:nsid w:val="520EEDD1"/>
    <w:multiLevelType w:val="hybridMultilevel"/>
    <w:lvl w:ilvl="0">
      <w:lvlJc w:val="left"/>
      <w:lvlText w:val="(%1)"/>
      <w:numFmt w:val="lowerRoman"/>
      <w:start w:val="2"/>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1."/>
      <w:numFmt w:val="decimal"/>
      <w:start w:val="2"/>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lowerLetter"/>
      <w:start w:val="6"/>
    </w:lvl>
  </w:abstractNum>
  <w:abstractNum w:abstractNumId="33">
    <w:nsid w:val="39386575"/>
    <w:multiLevelType w:val="hybridMultilevel"/>
    <w:lvl w:ilvl="0">
      <w:lvlJc w:val="left"/>
      <w:lvlText w:val="(%1)"/>
      <w:numFmt w:val="lowerLetter"/>
      <w:start w:val="9"/>
    </w:lvl>
    <w:lvl w:ilvl="1">
      <w:lvlJc w:val="left"/>
      <w:lvlText w:val="•"/>
      <w:numFmt w:val="bullet"/>
      <w:start w:val="1"/>
    </w:lvl>
  </w:abstractNum>
  <w:abstractNum w:abstractNumId="34">
    <w:nsid w:val="1CF10FD8"/>
    <w:multiLevelType w:val="hybridMultilevel"/>
    <w:lvl w:ilvl="0">
      <w:lvlJc w:val="left"/>
      <w:lvlText w:val="(%1)"/>
      <w:numFmt w:val="lowerLetter"/>
      <w:start w:val="1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lowerLetter"/>
      <w:start w:val="12"/>
    </w:lvl>
  </w:abstractNum>
  <w:abstractNum w:abstractNumId="37">
    <w:nsid w:val="47398C89"/>
    <w:multiLevelType w:val="hybridMultilevel"/>
    <w:lvl w:ilvl="0">
      <w:lvlJc w:val="left"/>
      <w:lvlText w:val="(%1)"/>
      <w:numFmt w:val="lowerRoman"/>
      <w:start w:val="1"/>
    </w:lvl>
  </w:abstractNum>
  <w:abstractNum w:abstractNumId="38">
    <w:nsid w:val="354FE9F9"/>
    <w:multiLevelType w:val="hybridMultilevel"/>
    <w:lvl w:ilvl="0">
      <w:lvlJc w:val="left"/>
      <w:lvlText w:val="(%1)"/>
      <w:numFmt w:val="lowerLetter"/>
      <w:start w:val="13"/>
    </w:lvl>
  </w:abstractNum>
  <w:abstractNum w:abstractNumId="39">
    <w:nsid w:val="15B5AF5C"/>
    <w:multiLevelType w:val="hybridMultilevel"/>
    <w:lvl w:ilvl="0">
      <w:lvlJc w:val="left"/>
      <w:lvlText w:val="%1."/>
      <w:numFmt w:val="decimal"/>
      <w:start w:val="3"/>
    </w:lvl>
  </w:abstractNum>
  <w:abstractNum w:abstractNumId="40">
    <w:nsid w:val="741226BB"/>
    <w:multiLevelType w:val="hybridMultilevel"/>
    <w:lvl w:ilvl="0">
      <w:lvlJc w:val="left"/>
      <w:lvlText w:val="%1."/>
      <w:numFmt w:val="decimal"/>
      <w:start w:val="4"/>
    </w:lvl>
  </w:abstractNum>
  <w:abstractNum w:abstractNumId="41">
    <w:nsid w:val="D34B6A8"/>
    <w:multiLevelType w:val="hybridMultilevel"/>
    <w:lvl w:ilvl="0">
      <w:lvlJc w:val="left"/>
      <w:lvlText w:val="%1."/>
      <w:numFmt w:val="decimal"/>
      <w:start w:val="7"/>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decimal"/>
      <w:start w:val="8"/>
    </w:lvl>
  </w:abstractNum>
  <w:abstractNum w:abstractNumId="44">
    <w:nsid w:val="61574095"/>
    <w:multiLevelType w:val="hybridMultilevel"/>
    <w:lvl w:ilvl="0">
      <w:lvlJc w:val="left"/>
      <w:lvlText w:val="(%1)"/>
      <w:numFmt w:val="lowerRoman"/>
      <w:start w:val="1"/>
    </w:lvl>
  </w:abstractNum>
  <w:abstractNum w:abstractNumId="45">
    <w:nsid w:val="7E0C57B1"/>
    <w:multiLevelType w:val="hybridMultilevel"/>
    <w:lvl w:ilvl="0">
      <w:lvlJc w:val="left"/>
      <w:lvlText w:val="%1"/>
      <w:numFmt w:val="decimal"/>
      <w:start w:val="1"/>
    </w:lvl>
    <w:lvl w:ilvl="1">
      <w:lvlJc w:val="left"/>
      <w:lvlText w:val="(%2)"/>
      <w:numFmt w:val="lowerRoman"/>
      <w:start w:val="1"/>
    </w:lvl>
  </w:abstractNum>
  <w:abstractNum w:abstractNumId="46">
    <w:nsid w:val="77AE35EB"/>
    <w:multiLevelType w:val="hybridMultilevel"/>
    <w:lvl w:ilvl="0">
      <w:lvlJc w:val="left"/>
      <w:lvlText w:val="%1."/>
      <w:numFmt w:val="decimal"/>
      <w:start w:val="9"/>
    </w:lvl>
    <w:lvl w:ilvl="1">
      <w:lvlJc w:val="left"/>
      <w:lvlText w:val="%2"/>
      <w:numFmt w:val="lowerRoman"/>
      <w:start w:val="1"/>
    </w:lvl>
  </w:abstractNum>
  <w:abstractNum w:abstractNumId="47">
    <w:nsid w:val="579BE4F1"/>
    <w:multiLevelType w:val="hybridMultilevel"/>
    <w:lvl w:ilvl="0">
      <w:lvlJc w:val="left"/>
      <w:lvlText w:val="%1."/>
      <w:numFmt w:val="decimal"/>
      <w:start w:val="10"/>
    </w:lvl>
  </w:abstractNum>
  <w:abstractNum w:abstractNumId="48">
    <w:nsid w:val="310C50B3"/>
    <w:multiLevelType w:val="hybridMultilevel"/>
    <w:lvl w:ilvl="0">
      <w:lvlJc w:val="left"/>
      <w:lvlText w:val="%1."/>
      <w:numFmt w:val="decimal"/>
      <w:start w:val="1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decimal"/>
      <w:start w:val="11"/>
    </w:lvl>
    <w:lvl w:ilvl="1">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54">
    <w:nsid w:val="1F48EAA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55">
    <w:nsid w:val="1381823A"/>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56">
    <w:nsid w:val="5DB70AE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7">
    <w:nsid w:val="100F8FCA"/>
    <w:multiLevelType w:val="hybridMultilevel"/>
    <w:lvl w:ilvl="0">
      <w:lvlJc w:val="left"/>
      <w:lvlText w:val="(%1)"/>
      <w:numFmt w:val="lowerLetter"/>
      <w:start w:val="1"/>
    </w:lvl>
    <w:lvl w:ilvl="1">
      <w:lvlJc w:val="left"/>
      <w:lvlText w:val="(%2)"/>
      <w:numFmt w:val="lowerRoman"/>
      <w:start w:val="1"/>
    </w:lvl>
  </w:abstractNum>
  <w:abstractNum w:abstractNumId="58">
    <w:nsid w:val="6590700B"/>
    <w:multiLevelType w:val="hybridMultilevel"/>
    <w:lvl w:ilvl="0">
      <w:lvlJc w:val="left"/>
      <w:lvlText w:val="(%1)"/>
      <w:numFmt w:val="lowerLetter"/>
      <w:start w:val="2"/>
    </w:lvl>
    <w:lvl w:ilvl="1">
      <w:lvlJc w:val="left"/>
      <w:lvlText w:val="(%2)"/>
      <w:numFmt w:val="lowerRoman"/>
      <w:start w:val="1"/>
    </w:lvl>
  </w:abstractNum>
  <w:abstractNum w:abstractNumId="59">
    <w:nsid w:val="15014ACB"/>
    <w:multiLevelType w:val="hybridMultilevel"/>
    <w:lvl w:ilvl="0">
      <w:lvlJc w:val="left"/>
      <w:lvlText w:val="(%1)"/>
      <w:numFmt w:val="lowerLetter"/>
      <w:start w:val="1"/>
    </w:lvl>
    <w:lvl w:ilvl="1">
      <w:lvlJc w:val="left"/>
      <w:lvlText w:val="(%2)"/>
      <w:numFmt w:val="lowerRoman"/>
      <w:start w:val="1"/>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4"/>
    </w:lvl>
  </w:abstractNum>
  <w:abstractNum w:abstractNumId="62">
    <w:nsid w:val="799D0247"/>
    <w:multiLevelType w:val="hybridMultilevel"/>
    <w:lvl w:ilvl="0">
      <w:lvlJc w:val="left"/>
      <w:lvlText w:val="(%1)"/>
      <w:numFmt w:val="lowerLetter"/>
      <w:start w:val="7"/>
    </w:lvl>
  </w:abstractNum>
  <w:abstractNum w:abstractNumId="63">
    <w:nsid w:val="6B94764"/>
    <w:multiLevelType w:val="hybridMultilevel"/>
    <w:lvl w:ilvl="0">
      <w:lvlJc w:val="left"/>
      <w:lvlText w:val="(%1)"/>
      <w:numFmt w:val="lowerLetter"/>
      <w:start w:val="8"/>
    </w:lvl>
  </w:abstractNum>
  <w:abstractNum w:abstractNumId="64">
    <w:nsid w:val="42C296BD"/>
    <w:multiLevelType w:val="hybridMultilevel"/>
    <w:lvl w:ilvl="0">
      <w:lvlJc w:val="left"/>
      <w:lvlText w:val="(%1)"/>
      <w:numFmt w:val="lowerLetter"/>
      <w:start w:val="11"/>
    </w:lvl>
  </w:abstractNum>
  <w:abstractNum w:abstractNumId="65">
    <w:nsid w:val="168E121F"/>
    <w:multiLevelType w:val="hybridMultilevel"/>
    <w:lvl w:ilvl="0">
      <w:lvlJc w:val="left"/>
      <w:lvlText w:val="(%1)"/>
      <w:numFmt w:val="lowerLetter"/>
      <w:start w:val="15"/>
    </w:lvl>
  </w:abstractNum>
  <w:abstractNum w:abstractNumId="66">
    <w:nsid w:val="1EBA5D23"/>
    <w:multiLevelType w:val="hybridMultilevel"/>
    <w:lvl w:ilvl="0">
      <w:lvlJc w:val="left"/>
      <w:lvlText w:val="(%1)"/>
      <w:numFmt w:val="lowerLetter"/>
      <w:start w:val="19"/>
    </w:lvl>
  </w:abstractNum>
  <w:abstractNum w:abstractNumId="67">
    <w:nsid w:val="661E3F1E"/>
    <w:multiLevelType w:val="hybridMultilevel"/>
    <w:lvl w:ilvl="0">
      <w:lvlJc w:val="left"/>
      <w:lvlText w:val="(%1)"/>
      <w:numFmt w:val="lowerLetter"/>
      <w:start w:val="23"/>
    </w:lvl>
  </w:abstractNum>
  <w:abstractNum w:abstractNumId="68">
    <w:nsid w:val="5DC79EA8"/>
    <w:multiLevelType w:val="hybridMultilevel"/>
    <w:lvl w:ilvl="0">
      <w:lvlJc w:val="left"/>
      <w:lvlText w:val="(%1)"/>
      <w:numFmt w:val="lowerLetter"/>
      <w:start w:val="27"/>
    </w:lvl>
  </w:abstractNum>
  <w:abstractNum w:abstractNumId="69">
    <w:nsid w:val="540A471C"/>
    <w:multiLevelType w:val="hybridMultilevel"/>
    <w:lvl w:ilvl="0">
      <w:lvlJc w:val="left"/>
      <w:lvlText w:val="(%1)"/>
      <w:numFmt w:val="lowerLetter"/>
      <w:start w:val="32"/>
    </w:lvl>
  </w:abstractNum>
  <w:abstractNum w:abstractNumId="70">
    <w:nsid w:val="7BD3EE7B"/>
    <w:multiLevelType w:val="hybridMultilevel"/>
    <w:lvl w:ilvl="0">
      <w:lvlJc w:val="left"/>
      <w:lvlText w:val="(%1)"/>
      <w:numFmt w:val="lowerLetter"/>
      <w:start w:val="37"/>
    </w:lvl>
  </w:abstractNum>
  <w:abstractNum w:abstractNumId="71">
    <w:nsid w:val="51D9C564"/>
    <w:multiLevelType w:val="hybridMultilevel"/>
    <w:lvl w:ilvl="0">
      <w:lvlJc w:val="left"/>
      <w:lvlText w:val="(%1)"/>
      <w:numFmt w:val="lowerLetter"/>
      <w:start w:val="1"/>
    </w:lvl>
  </w:abstractNum>
  <w:abstractNum w:abstractNumId="72">
    <w:nsid w:val="613EFDC5"/>
    <w:multiLevelType w:val="hybridMultilevel"/>
    <w:lvl w:ilvl="0">
      <w:lvlJc w:val="left"/>
      <w:lvlText w:val="(%1)"/>
      <w:numFmt w:val="lowerLetter"/>
      <w:start w:val="6"/>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lowerLetter"/>
      <w:start w:val="2"/>
    </w:lvl>
  </w:abstractNum>
  <w:abstractNum w:abstractNumId="76">
    <w:nsid w:val="A0382C5"/>
    <w:multiLevelType w:val="hybridMultilevel"/>
    <w:lvl w:ilvl="0">
      <w:lvlJc w:val="left"/>
      <w:lvlText w:val="(%1)"/>
      <w:numFmt w:val="lowerLetter"/>
      <w:start w:val="8"/>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jpe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31"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92" Type="http://schemas.openxmlformats.org/officeDocument/2006/relationships/hyperlink" Target="https://www.sec.gov/ix?doc=/Archives/edgar/data/1987363/000114036125027147/ef20052125_20f.htm" TargetMode="External"/><Relationship Id="rId93" Type="http://schemas.openxmlformats.org/officeDocument/2006/relationships/hyperlink" Target="https://www.sec.gov/Archives/edgar/data/1987363/000114036125030795/ef20053563_6k.htm" TargetMode="External"/><Relationship Id="rId94" Type="http://schemas.openxmlformats.org/officeDocument/2006/relationships/hyperlink" Target="https://www.sec.gov/Archives/edgar/data/1987363/000114036126002704/ef20064142_6k.htm" TargetMode="External"/><Relationship Id="rId128" Type="http://schemas.openxmlformats.org/officeDocument/2006/relationships/hyperlink" Target="https://www.sec.gov/Archives/edgar/data/1987363/000114036124047668/ny20017183x6_ex3-2.htm" TargetMode="External"/><Relationship Id="rId129" Type="http://schemas.openxmlformats.org/officeDocument/2006/relationships/hyperlink" Target="https://www.sec.gov/Archives/edgar/data/1987363/000114036124047668/ny20017183x6_ex4-1.htm" TargetMode="External"/><Relationship Id="rId130" Type="http://schemas.openxmlformats.org/officeDocument/2006/relationships/hyperlink" Target="https://www.sec.gov/Archives/edgar/data/1987363/000114036125008841/ny20017183x10_ex4-2.htm" TargetMode="External"/><Relationship Id="rId132" Type="http://schemas.openxmlformats.org/officeDocument/2006/relationships/hyperlink" Target="https://www.sec.gov/Archives/edgar/data/1987363/000114036125042363/ny20053887x2_ex5-1.htm" TargetMode="External"/><Relationship Id="rId133" Type="http://schemas.openxmlformats.org/officeDocument/2006/relationships/hyperlink" Target="https://www.sec.gov/Archives/edgar/data/1987363/000114036124047668/ny20017183x6_ex10-1.htm" TargetMode="External"/><Relationship Id="rId134" Type="http://schemas.openxmlformats.org/officeDocument/2006/relationships/hyperlink" Target="https://www.sec.gov/Archives/edgar/data/1987363/000114036124047668/ny20017183x6_ex10-2.htm" TargetMode="External"/><Relationship Id="rId135" Type="http://schemas.openxmlformats.org/officeDocument/2006/relationships/hyperlink" Target="https://www.sec.gov/Archives/edgar/data/1987363/000114036125003577/ny20017183x8_ex10-6.htm" TargetMode="External"/><Relationship Id="rId136" Type="http://schemas.openxmlformats.org/officeDocument/2006/relationships/hyperlink" Target="https://www.sec.gov/Archives/edgar/data/1987363/000114036124047668/ny20017183x6_ex16-1.htm" TargetMode="External"/><Relationship Id="rId137" Type="http://schemas.openxmlformats.org/officeDocument/2006/relationships/hyperlink" Target="https://www.sec.gov/Archives/edgar/data/1987363/000114036125042363/ny20053887x2_ex23-3.htm" TargetMode="External"/><Relationship Id="rId138" Type="http://schemas.openxmlformats.org/officeDocument/2006/relationships/hyperlink" Target="https://www.sec.gov/Archives/edgar/data/1987363/000114036125042363/ny20053887x2_ex23-4.htm" TargetMode="External"/><Relationship Id="rId139" Type="http://schemas.openxmlformats.org/officeDocument/2006/relationships/hyperlink" Target="https://www.sec.gov/Archives/edgar/data/1987363/000114036124047668/ny20017183x6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2026-03-02T15:24:09Z</dcterms:created>
  <dcterms:modified xsi:type="dcterms:W3CDTF">2026-03-02T15:24:09Z</dcterms:modified>
</cp:coreProperties>
</file>