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 </w:t>
      </w:r>
      <w:r>
        <w:rPr/>
        <w:t>March 24,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WEN Huaxin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Waton Financial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Suite 3605-06, 36th Floor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Tower 6, The Gateway</w:t>
      </w:r>
    </w:p>
    <w:p>
      <w:pPr>
        <w:pStyle w:val="PreformattedText"/>
        <w:bidi w:val="0"/>
        <w:spacing w:before="0" w:after="0"/>
        <w:jc w:val="left"/>
        <w:rPr/>
      </w:pPr>
      <w:r>
        <w:rPr/>
        <w:t>Harbour City, Tsim Sha Tsui</w:t>
      </w:r>
    </w:p>
    <w:p>
      <w:pPr>
        <w:pStyle w:val="PreformattedText"/>
        <w:bidi w:val="0"/>
        <w:spacing w:before="0" w:after="0"/>
        <w:jc w:val="left"/>
        <w:rPr/>
      </w:pPr>
      <w:r>
        <w:rPr/>
        <w:t>Kowloon, Hong Kong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Waton Financial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Form 20-F for Fiscal Year Ended March 31,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001-42573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WEN Huaxin: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limited our review of your filing to the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related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 and have the following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within ten business days by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or advise us as soon as possible when you will respond. If you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believe 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 applies to your facts and circumstances, please tell us why 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your response to this letter, we may have additional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Form 20-F for Fiscal Year Ended March 31,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Information on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B. Business Overview, page 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your disclosure of the non-GAAP financial measures 'Adjusted Net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Income'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'Adjusted Net Loss' in your business overview on page 45 when discussing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results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operations in the periods presented. Please represent to us that,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future filings, you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provide all the non-GAAP disclosures required by Item 10(e)(1)(i)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S-K.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Notes to Consolidated Financial Statements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2. Summary of Significant Accounting Policies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(n) Investment, cost, page F-11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We note that you assess impairment of your equity investment without a</w:t>
      </w:r>
    </w:p>
    <w:p>
      <w:pPr>
        <w:pStyle w:val="PreformattedText"/>
        <w:bidi w:val="0"/>
        <w:spacing w:before="0" w:after="0"/>
        <w:jc w:val="left"/>
        <w:rPr/>
      </w:pPr>
      <w:r>
        <w:rPr/>
        <w:t>readily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determinable fair value using an other-than-temporary model. We also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note that ASU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2016-01 removed this model for these equity security investments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apply a one-step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approach as explained further in paragraphs BC85 to BC89 of that ASU.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 result,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March 24,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address the following: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Tell us whether your $618,630 impairment recorded in fiscal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have been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larger or whether you would have recorded any impairment in fiscal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2024 if, instead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of apply an other-than-temporary model, you employed a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assessment of fair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value to carrying value if indicators of impairment existed. If so,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demonstrate to us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whether or not these differences are material.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Represent to us that, in future filings, you will remove reference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use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other-than-temporary model to assess impairment and revise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policy disclosure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to be consistent with the guidance in ASC 321-10-35-3 and 35-4.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closing, we remind you that the company and its management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responsible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and adequacy of their disclosures, notwithstanding any review,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comments, action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David Irving at 202-551-3321 or Mark Brunhofer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202-551-3638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Crypto</w:t>
      </w:r>
    </w:p>
    <w:p>
      <w:pPr>
        <w:pStyle w:val="PreformattedText"/>
        <w:bidi w:val="0"/>
        <w:spacing w:before="0" w:after="283"/>
        <w:jc w:val="left"/>
        <w:rPr/>
      </w:pPr>
      <w:r>
        <w:rPr/>
        <w:t>Assets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431</Words>
  <Characters>2272</Characters>
  <CharactersWithSpaces>3076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